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0" w:name="_Toc28359002"/>
      <w:r/>
      <w:bookmarkStart w:id="1" w:name="_Toc28359079"/>
      <w:r/>
      <w:bookmarkStart w:id="2" w:name="_Toc35393621"/>
      <w:r/>
      <w:bookmarkStart w:id="3" w:name="_Toc35393790"/>
      <w:r/>
      <w:bookmarkStart w:id="4" w:name="_Hlk24379207"/>
      <w:r>
        <w:rPr>
          <w:rFonts w:hint="eastAsia" w:ascii="宋体" w:hAnsi="宋体" w:cs="宋体"/>
          <w:color w:val="auto"/>
          <w:sz w:val="24"/>
          <w:szCs w:val="24"/>
          <w:highlight w:val="none"/>
        </w:rPr>
        <w:t xml:space="preserve">项目概况</w:t>
      </w:r>
      <w:r/>
    </w:p>
    <w:p>
      <w:pPr>
        <w:ind w:firstLine="480"/>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rPr>
        <w:t xml:space="preserve">2025年苏州市姑苏区财政投资项目工程竣工结算评审委托协审服务</w:t>
      </w:r>
      <w:r>
        <w:rPr>
          <w:rFonts w:hint="eastAsia" w:ascii="宋体" w:hAnsi="宋体" w:cs="宋体"/>
          <w:color w:val="auto"/>
          <w:sz w:val="24"/>
          <w:szCs w:val="24"/>
          <w:highlight w:val="none"/>
        </w:rPr>
        <w:t xml:space="preserve">招标项目的潜在投标人应在</w:t>
      </w:r>
      <w:r>
        <w:rPr>
          <w:rFonts w:hint="eastAsia" w:ascii="宋体" w:hAnsi="宋体" w:cs="宋体"/>
          <w:color w:val="auto"/>
          <w:sz w:val="24"/>
          <w:szCs w:val="24"/>
          <w:highlight w:val="none"/>
          <w:u w:val="single"/>
        </w:rPr>
        <w:t xml:space="preserve">苏采云政府采购一体化平台</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lang w:eastAsia="zh-CN"/>
        </w:rPr>
        <w:t xml:space="preserve">2025年10月31日9点30分</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0"/>
      <w:r/>
      <w:bookmarkEnd w:id="1"/>
      <w:r/>
      <w:bookmarkEnd w:id="2"/>
      <w:r/>
      <w:bookmarkEnd w:id="3"/>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bookmarkStart w:id="69" w:name="_GoBack"/>
      <w:r>
        <w:rPr>
          <w:rFonts w:hint="eastAsia" w:ascii="宋体" w:hAnsi="宋体" w:cs="宋体"/>
          <w:color w:val="auto"/>
          <w:sz w:val="24"/>
          <w:szCs w:val="24"/>
          <w:highlight w:val="none"/>
          <w:lang w:eastAsia="zh-CN"/>
        </w:rPr>
        <w:t xml:space="preserve">JSZC-320508-SZWK-G2025-0449</w:t>
      </w:r>
      <w:bookmarkEnd w:id="69"/>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bookmarkEnd w:id="4"/>
      <w:r>
        <w:rPr>
          <w:rFonts w:hint="eastAsia" w:ascii="宋体" w:hAnsi="宋体" w:cs="宋体"/>
          <w:color w:val="auto"/>
          <w:sz w:val="24"/>
          <w:szCs w:val="24"/>
          <w:highlight w:val="none"/>
        </w:rPr>
        <w:t xml:space="preserve">2025年苏州市姑苏区财政投资项目工程竣工结算评审委托协审服务</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预算总金额：</w:t>
      </w:r>
      <w:bookmarkStart w:id="5" w:name="_Hlk98231672"/>
      <w:r>
        <w:rPr>
          <w:rFonts w:hint="eastAsia" w:ascii="宋体" w:hAnsi="宋体" w:cs="宋体"/>
          <w:color w:val="auto"/>
          <w:sz w:val="24"/>
          <w:szCs w:val="24"/>
          <w:highlight w:val="none"/>
        </w:rPr>
        <w:t xml:space="preserve">人民币伍佰陆拾万元整（￥5600000.00）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标段一：陆拾万元整（￥600000.00）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标段二：肆拾玖万元整（￥490000.00）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标段三：叁拾玖万元整（￥390000.00）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标段四：叁拾伍万元整（￥350000.00）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标段五：叁拾叁万元整（￥330000.00）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标段六：叁拾贰万元整（￥320000.00）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标段七：叁拾壹万元整（￥310000.00）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标段八：叁拾万元整（￥300000.00）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标段九：叁拾万元整（￥300000.00）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标段十：贰拾玖万元整（￥290000.00）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标段十一：贰拾捌万元整（￥280000.00）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标段十二：贰拾捌万元整（￥280000.00）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标段十三：贰拾陆万元整（￥260000.00）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标段十四：贰拾陆万元整（￥260000.00）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标段十五：贰拾伍万元整（￥250000.00）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标段十六：贰拾贰万元整（￥220000.00）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标段十七：壹拾玖万元整（￥190000.00）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标段十八：壹拾捌万元整（￥180000.00）</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最高限价：同各标段预算</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1、为加强财政评审工作履职所需的辅助性服务，姑苏区财政局拟通过政府采购程序采购工程造价咨询服务，服务内容包括工程竣工结算审核等。本服务采购项目共18个标段，每个标段确定1名中标人。</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2、受托咨询单位的责任</w:t>
      </w:r>
      <w:r/>
    </w:p>
    <w:p>
      <w:pPr>
        <w:ind w:firstLine="480"/>
        <w:jc w:val="left"/>
        <w:tabs>
          <w:tab w:val="center" w:pos="4153"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咨询工作应当严格遵守国家的有关法律、法规、制度规定及有关执业规范要求。咨询单位对咨询结果的真实性、完整性、可靠性负责。咨询单位应保证咨询工作质量，服从采购人效率管理，咨询报告未经同意，不得自行提供给其他单位。对于咨询服务工作产生重大质量误差、咨询工作进度严重拖延、咨询工作违反各级造价行业部门规定及采购人相关规定要求，或提供不实或内容虚假的咨询结果以及自行对外提供咨询报告的，采购人将按照咨询单位违约进行惩处。情节严重的，依法提请有关部门追究咨询单位和相关责任人的行政及法律责任。</w:t>
      </w:r>
      <w:bookmarkEnd w:id="5"/>
      <w:r>
        <w:tab/>
      </w:r>
      <w:r/>
    </w:p>
    <w:p>
      <w:pPr>
        <w:ind w:left="0" w:right="0" w:firstLine="480"/>
        <w:spacing w:before="0" w:after="0"/>
        <w:rPr>
          <w:rFonts w:hint="eastAsia" w:ascii="宋体" w:hAnsi="宋体" w:cs="宋体"/>
          <w:color w:val="auto"/>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本项目不接受联合体投标。</w:t>
      </w:r>
      <w:r>
        <w:rPr>
          <w:sz w:val="21"/>
        </w:rPr>
      </w:r>
      <w:r/>
    </w:p>
    <w:p>
      <w:pPr>
        <w:ind w:left="0" w:right="0" w:firstLine="480"/>
        <w:spacing w:before="0" w:after="0"/>
        <w:rPr>
          <w:sz w:val="21"/>
          <w:szCs w:val="21"/>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r>
      <w:r>
        <w:rPr>
          <w:rFonts w:ascii="SimSun" w:hAnsi="SimSun" w:eastAsia="SimSun" w:cs="SimSun"/>
          <w:color w:val="000000"/>
          <w:sz w:val="24"/>
        </w:rPr>
        <w:t xml:space="preserve">合同履行期限：自合同签订之日起至全部服务内容完成。</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第九至第十八标段的投标人须为中小企业或监狱企业或残疾人福利性单位，所属行业为其他未列明行业。</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（1）咨询服务商单位负责人为同一人或者存在直接控股、管理关系的咨询服务商，不得参加同一合同下的政府采购活动。</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（2）咨询服务商单位负责人或股东与施工企业、施工劳务企业、工程材料供应商或施工器械租赁等工程领域相关企业存在交叉股权关系或者管理等影响社会咨询企业独立性的，不得参与本采购活动。</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（3）咨询服务商应承诺具有相关造价咨询能力，且提供的造价咨询服务工作符合中华人民共和国建设部令第149号及中华人民共和国建设部令第50号相关规定。</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1.获取时间：自招标文件上网之日起五个工作日（北京时间）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3.方式：网上报名</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（1）申领CA证书</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苏州现场办理地址：苏州市姑苏区平泷路251号政务服务中心4楼公共交易中心窗口。</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（2）登录</w:t>
      </w:r>
      <w:r>
        <w:rPr>
          <w:rFonts w:hint="eastAsia" w:ascii="宋体" w:hAnsi="宋体" w:cs="宋体"/>
          <w:color w:val="auto"/>
          <w:sz w:val="24"/>
          <w:szCs w:val="24"/>
          <w:highlight w:val="none"/>
          <w:lang w:val="en-US" w:eastAsia="zh-CN"/>
        </w:rPr>
        <w:t xml:space="preserve">系统</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（3）在网上</w:t>
      </w:r>
      <w:r>
        <w:rPr>
          <w:rFonts w:hint="eastAsia" w:ascii="宋体" w:hAnsi="宋体" w:cs="宋体"/>
          <w:color w:val="auto"/>
          <w:sz w:val="24"/>
          <w:szCs w:val="24"/>
          <w:highlight w:val="none"/>
          <w:lang w:val="en-US" w:eastAsia="zh-CN"/>
        </w:rPr>
        <w:t xml:space="preserve">招投标</w:t>
      </w:r>
      <w:r>
        <w:rPr>
          <w:rFonts w:hint="eastAsia" w:ascii="宋体" w:hAnsi="宋体" w:cs="宋体"/>
          <w:color w:val="auto"/>
          <w:sz w:val="24"/>
          <w:szCs w:val="24"/>
          <w:highlight w:val="none"/>
        </w:rPr>
        <w:t xml:space="preserve">过程中如有疑问，请及时联系：</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CA技术咨询服务电话：400-608-6099</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电子签章技术咨询服务电话：15380932027、15371015030、13675197356、13675197221</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系统使用指导与咨询：联系电话：13914088964；18261002950（不见面项目）QQ：3048755361、895706745。</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（4）依法获取采购文件的方式：供应商确认后需自行从系统里面下载本项目采购文件，</w:t>
      </w:r>
      <w:r>
        <w:rPr>
          <w:rFonts w:hint="eastAsia" w:ascii="宋体" w:hAnsi="宋体" w:cs="宋体"/>
          <w:color w:val="auto"/>
          <w:sz w:val="24"/>
          <w:szCs w:val="24"/>
          <w:highlight w:val="none"/>
          <w:lang w:val="en-US" w:eastAsia="zh-CN"/>
        </w:rPr>
        <w:t xml:space="preserve">下载</w:t>
      </w:r>
      <w:r>
        <w:rPr>
          <w:rFonts w:hint="eastAsia" w:ascii="宋体" w:hAnsi="宋体" w:cs="宋体"/>
          <w:color w:val="auto"/>
          <w:sz w:val="24"/>
          <w:szCs w:val="24"/>
          <w:highlight w:val="none"/>
        </w:rPr>
        <w:t xml:space="preserve">日期视同为依法获取采购文件日期。未依照采购公告要求实行网上</w:t>
      </w:r>
      <w:r>
        <w:rPr>
          <w:rFonts w:hint="eastAsia" w:ascii="宋体" w:hAnsi="宋体" w:cs="宋体"/>
          <w:color w:val="auto"/>
          <w:sz w:val="24"/>
          <w:szCs w:val="24"/>
          <w:highlight w:val="none"/>
          <w:lang w:val="en-US" w:eastAsia="zh-CN"/>
        </w:rPr>
        <w:t xml:space="preserve">获取文件</w:t>
      </w:r>
      <w:r>
        <w:rPr>
          <w:rFonts w:hint="eastAsia" w:ascii="宋体" w:hAnsi="宋体" w:cs="宋体"/>
          <w:color w:val="auto"/>
          <w:sz w:val="24"/>
          <w:szCs w:val="24"/>
          <w:highlight w:val="none"/>
        </w:rPr>
        <w:t xml:space="preserve">的投标人，视为未参与该项政府采购活动，不具备对该政府采购项目提出质疑的法定权利，但因供应商资格条件或</w:t>
      </w:r>
      <w:r>
        <w:rPr>
          <w:rFonts w:hint="eastAsia" w:ascii="宋体" w:hAnsi="宋体" w:cs="宋体"/>
          <w:color w:val="auto"/>
          <w:sz w:val="24"/>
          <w:szCs w:val="24"/>
          <w:highlight w:val="none"/>
          <w:lang w:val="en-US" w:eastAsia="zh-CN"/>
        </w:rPr>
        <w:t xml:space="preserve">获取文件</w:t>
      </w:r>
      <w:r>
        <w:rPr>
          <w:rFonts w:hint="eastAsia" w:ascii="宋体" w:hAnsi="宋体" w:cs="宋体"/>
          <w:color w:val="auto"/>
          <w:sz w:val="24"/>
          <w:szCs w:val="24"/>
          <w:highlight w:val="none"/>
        </w:rPr>
        <w:t xml:space="preserve">时间设定不符合有关法律法规规定等原因使供应商权益受损的除外。</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（5）截止日期之后下载的采购文件，视为非有效方式且不作为供应商权益受到损害的证明材料和依据。</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4.售价：本项目免费下载电子招标文件。</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四、提交电子投标文件截止时间、开标时间和地点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1.提交电子投标文件截止时间、地点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2025年10月31日9点30分</w:t>
      </w:r>
      <w:r>
        <w:rPr>
          <w:rFonts w:hint="eastAsia" w:ascii="宋体" w:hAnsi="宋体" w:cs="宋体"/>
          <w:color w:val="auto"/>
          <w:sz w:val="24"/>
          <w:szCs w:val="24"/>
          <w:highlight w:val="none"/>
        </w:rPr>
        <w:t xml:space="preserve">（北京时间）</w:t>
      </w:r>
      <w:r>
        <w:rPr>
          <w:rFonts w:hint="eastAsia" w:ascii="宋体" w:hAnsi="宋体" w:cs="宋体"/>
          <w:color w:val="auto"/>
          <w:sz w:val="24"/>
          <w:szCs w:val="24"/>
          <w:highlight w:val="none"/>
        </w:rPr>
        <w:t xml:space="preserve">，逾期递交（上传）的投标文件将被拒绝</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2.开标时间、地点</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lang w:eastAsia="zh-CN"/>
        </w:rPr>
        <w:t xml:space="preserve">2025年10月31日9点30分</w:t>
      </w:r>
      <w:r>
        <w:rPr>
          <w:rFonts w:hint="eastAsia" w:ascii="宋体" w:hAnsi="宋体" w:cs="宋体"/>
          <w:color w:val="auto"/>
          <w:sz w:val="24"/>
          <w:szCs w:val="24"/>
          <w:highlight w:val="none"/>
        </w:rPr>
        <w:t xml:space="preserve">（北京时间）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地点：苏州市姑苏区平泷路251号五楼 苏州市公共资源交易中心</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电子投标文件解密开始时间：</w:t>
      </w:r>
      <w:r>
        <w:rPr>
          <w:rFonts w:hint="eastAsia" w:ascii="宋体" w:hAnsi="宋体" w:cs="宋体"/>
          <w:color w:val="auto"/>
          <w:sz w:val="24"/>
          <w:szCs w:val="24"/>
          <w:highlight w:val="none"/>
          <w:lang w:eastAsia="zh-CN"/>
        </w:rPr>
        <w:t xml:space="preserve">2025年10月31日9点30分</w:t>
      </w:r>
      <w:r>
        <w:rPr>
          <w:rFonts w:hint="eastAsia" w:ascii="宋体" w:hAnsi="宋体" w:cs="宋体"/>
          <w:color w:val="auto"/>
          <w:sz w:val="24"/>
          <w:szCs w:val="24"/>
          <w:highlight w:val="none"/>
        </w:rPr>
        <w:t xml:space="preserve">（北京时间）</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1、采购项目需要落实的政府采购政策：</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1.1、根据财政部、工业和信息化部关于印发《政府采购促进中小企业发展管理办法》的规定执行。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1.2、根据财政部、司法部《关于政府采购支持监狱企业发展有关问题的通知》（财库〔2014〕68号）的规定执行。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1.3、根据财政部、民政部、中国残疾人联合会《关于促进残疾人就业政府采购政策的通知》（财库〔2017〕141号）的规定执行。 </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2、监督电话：0512-68728409。</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3、本次采购的相关信息刊登在</w:t>
      </w:r>
      <w:r>
        <w:rPr>
          <w:rFonts w:hint="eastAsia" w:ascii="宋体" w:hAnsi="宋体" w:cs="宋体"/>
          <w:color w:val="auto"/>
          <w:sz w:val="24"/>
          <w:szCs w:val="24"/>
          <w:highlight w:val="none"/>
          <w:lang w:val="en-US" w:eastAsia="zh-CN"/>
        </w:rPr>
        <w:t xml:space="preserve">中国政府采购网、</w:t>
      </w:r>
      <w:r>
        <w:rPr>
          <w:rFonts w:hint="eastAsia" w:ascii="宋体" w:hAnsi="宋体" w:cs="宋体"/>
          <w:color w:val="auto"/>
          <w:sz w:val="24"/>
          <w:szCs w:val="24"/>
          <w:highlight w:val="none"/>
        </w:rPr>
        <w:t xml:space="preserve">江苏政府采购网以及苏州市政府采购网。</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七、凡对本次采购提出询问，请按以下方式联系</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称：苏州市姑苏区财政局</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址：苏州市姑苏区平川路510号1号楼</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周俊鹤</w:t>
      </w:r>
      <w:r>
        <w:rPr>
          <w:rFonts w:hint="eastAsia" w:ascii="宋体" w:hAnsi="宋体" w:cs="宋体"/>
          <w:color w:val="auto"/>
          <w:sz w:val="24"/>
          <w:szCs w:val="24"/>
          <w:highlight w:val="none"/>
        </w:rPr>
        <w:t xml:space="preserve"> 0512-68728411</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称：苏州市卫康招投标咨询服务有限公司</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址：苏州市姑苏区干将西路1296号深业姑苏中心1幢17层</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联系方式：0512-65158848</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项目联系人：陆宇、张田、李东</w:t>
      </w:r>
      <w:r/>
    </w:p>
    <w:p>
      <w:pPr>
        <w:ind w:firstLine="480"/>
        <w:jc w:val="left"/>
        <w:rPr>
          <w:rFonts w:ascii="宋体" w:hAnsi="宋体" w:cs="宋体"/>
          <w:bCs/>
          <w:color w:val="auto"/>
          <w:sz w:val="24"/>
          <w:szCs w:val="24"/>
          <w:highlight w:val="none"/>
          <w:lang w:val="zh-CN"/>
        </w:rPr>
      </w:pPr>
      <w:r>
        <w:rPr>
          <w:rFonts w:hint="eastAsia" w:ascii="宋体" w:hAnsi="宋体" w:cs="宋体"/>
          <w:color w:val="auto"/>
          <w:sz w:val="24"/>
          <w:szCs w:val="24"/>
          <w:highlight w:val="none"/>
        </w:rPr>
        <w:t xml:space="preserve">电　　 话：</w:t>
      </w:r>
      <w:r>
        <w:rPr>
          <w:rFonts w:hint="eastAsia" w:ascii="宋体" w:hAnsi="宋体" w:cs="宋体"/>
          <w:bCs/>
          <w:color w:val="auto"/>
          <w:sz w:val="24"/>
          <w:szCs w:val="24"/>
          <w:highlight w:val="none"/>
          <w:lang w:val="zh-CN"/>
        </w:rPr>
        <w:t xml:space="preserve">0512-65158848转8011</w:t>
      </w:r>
      <w:r>
        <w:rPr>
          <w:rFonts w:hint="eastAsia" w:ascii="宋体" w:hAnsi="宋体" w:cs="宋体"/>
          <w:bCs/>
          <w:color w:val="auto"/>
          <w:sz w:val="24"/>
          <w:szCs w:val="24"/>
          <w:highlight w:val="none"/>
        </w:rPr>
        <w:t xml:space="preserve">/0512-</w:t>
      </w:r>
      <w:r>
        <w:rPr>
          <w:rFonts w:hint="eastAsia" w:ascii="宋体" w:hAnsi="宋体" w:cs="宋体"/>
          <w:bCs/>
          <w:color w:val="auto"/>
          <w:sz w:val="24"/>
          <w:szCs w:val="24"/>
          <w:highlight w:val="none"/>
          <w:lang w:val="zh-CN"/>
        </w:rPr>
        <w:t xml:space="preserve">65237219</w:t>
      </w:r>
      <w:r/>
    </w:p>
    <w:p>
      <w:pPr>
        <w:ind w:firstLine="480"/>
        <w:jc w:val="left"/>
        <w:rPr>
          <w:rFonts w:ascii="宋体" w:hAnsi="宋体" w:cs="宋体"/>
          <w:color w:val="auto"/>
          <w:sz w:val="24"/>
          <w:szCs w:val="24"/>
          <w:highlight w:val="none"/>
        </w:rPr>
      </w:pPr>
      <w:r>
        <w:rPr>
          <w:rFonts w:hint="eastAsia" w:ascii="宋体" w:hAnsi="宋体" w:cs="宋体"/>
          <w:bCs/>
          <w:color w:val="auto"/>
          <w:sz w:val="24"/>
          <w:szCs w:val="24"/>
          <w:highlight w:val="none"/>
          <w:lang w:val="zh-CN"/>
        </w:rPr>
        <w:t xml:space="preserve">传真：0512-65153553</w:t>
      </w:r>
      <w:r/>
    </w:p>
    <w:p>
      <w:pPr>
        <w:ind w:firstLine="480"/>
        <w:jc w:val="right"/>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rPr>
          <w:rFonts w:ascii="宋体" w:hAnsi="宋体" w:cs="宋体"/>
          <w:color w:val="auto"/>
          <w:sz w:val="24"/>
          <w:szCs w:val="20"/>
          <w:highlight w:val="none"/>
        </w:rPr>
      </w:pPr>
      <w:r>
        <w:rPr>
          <w:rFonts w:ascii="宋体" w:hAnsi="宋体" w:cs="宋体"/>
          <w:color w:val="auto"/>
          <w:sz w:val="24"/>
          <w:szCs w:val="20"/>
          <w:highlight w:val="none"/>
        </w:rPr>
      </w:r>
      <w:r/>
    </w:p>
    <w:p>
      <w:pPr>
        <w:pStyle w:val="753"/>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740"/>
        <w:rPr>
          <w:color w:val="auto"/>
          <w:highlight w:val="none"/>
        </w:rPr>
      </w:pPr>
      <w:r>
        <w:rPr>
          <w:color w:val="auto"/>
          <w:highlight w:val="none"/>
        </w:rPr>
      </w:r>
      <w:r/>
    </w:p>
    <w:p>
      <w:pPr>
        <w:pStyle w:val="740"/>
        <w:rPr>
          <w:color w:val="auto"/>
          <w:highlight w:val="none"/>
        </w:rPr>
      </w:pPr>
      <w:r>
        <w:rPr>
          <w:color w:val="auto"/>
          <w:highlight w:val="none"/>
        </w:rPr>
      </w:r>
      <w:r/>
    </w:p>
    <w:p>
      <w:pPr>
        <w:pStyle w:val="740"/>
        <w:rPr>
          <w:color w:val="auto"/>
          <w:highlight w:val="none"/>
        </w:rPr>
      </w:pPr>
      <w:r>
        <w:rPr>
          <w:color w:val="auto"/>
          <w:highlight w:val="none"/>
        </w:rPr>
      </w:r>
      <w:r/>
    </w:p>
    <w:p>
      <w:pPr>
        <w:jc w:val="center"/>
        <w:widowControl/>
        <w:rPr>
          <w:b/>
          <w:bCs/>
          <w:color w:val="auto"/>
          <w:sz w:val="116"/>
          <w:szCs w:val="20"/>
          <w:highlight w:val="none"/>
        </w:rPr>
      </w:pPr>
      <w:r>
        <w:rPr>
          <w:rFonts w:hint="eastAsia"/>
          <w:b/>
          <w:bCs/>
          <w:color w:val="auto"/>
          <w:spacing w:val="60"/>
          <w:sz w:val="100"/>
          <w:szCs w:val="100"/>
          <w:highlight w:val="none"/>
        </w:rPr>
        <w:t xml:space="preserve">政府采购</w:t>
      </w:r>
      <w:r>
        <w:rPr>
          <w:rFonts w:hint="eastAsia"/>
          <w:b/>
          <w:bCs/>
          <w:color w:val="auto"/>
          <w:sz w:val="100"/>
          <w:szCs w:val="100"/>
          <w:highlight w:val="none"/>
        </w:rPr>
        <w:t xml:space="preserve">文件</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采购编号：</w:t>
      </w:r>
      <w:r>
        <w:rPr>
          <w:rFonts w:hint="eastAsia"/>
          <w:color w:val="auto"/>
          <w:sz w:val="30"/>
          <w:szCs w:val="20"/>
          <w:highlight w:val="none"/>
          <w:lang w:eastAsia="zh-CN"/>
        </w:rPr>
        <w:t xml:space="preserve">JSZC-320508-SZWK-G2025-0449</w:t>
      </w:r>
      <w:r>
        <w:rPr>
          <w:color w:val="auto"/>
          <w:sz w:val="30"/>
          <w:szCs w:val="20"/>
          <w:highlight w:val="none"/>
        </w:rPr>
        <w:t xml:space="preserve">号</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采购项目：2025年苏州市姑苏区财政投资项目工程竣工结算评审委托协审服务</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采购单位：苏州市姑苏区财政局</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类    别：服务</w:t>
      </w:r>
      <w:r/>
    </w:p>
    <w:p>
      <w:pPr>
        <w:ind w:right="-159" w:firstLine="2760"/>
        <w:jc w:val="left"/>
        <w:spacing w:line="480" w:lineRule="auto"/>
        <w:widowControl/>
        <w:rPr>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1727835</wp:posOffset>
                </wp:positionH>
                <wp:positionV relativeFrom="paragraph">
                  <wp:posOffset>285115</wp:posOffset>
                </wp:positionV>
                <wp:extent cx="2165985" cy="1016000"/>
                <wp:effectExtent l="0" t="0" r="5715" b="12700"/>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5"/>
                        <a:stretch/>
                      </pic:blipFill>
                      <pic:spPr bwMode="auto">
                        <a:xfrm>
                          <a:off x="0" y="0"/>
                          <a:ext cx="2165985" cy="1015999"/>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36.0pt;mso-position-horizontal:absolute;mso-position-vertical-relative:text;margin-top:22.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firstLine="2424"/>
        <w:jc w:val="left"/>
        <w:spacing w:line="480" w:lineRule="auto"/>
        <w:widowControl/>
        <w:rPr>
          <w:b/>
          <w:color w:val="auto"/>
          <w:sz w:val="24"/>
          <w:szCs w:val="24"/>
          <w:highlight w:val="none"/>
        </w:rPr>
      </w:pPr>
      <w:r>
        <w:rPr>
          <w:b/>
          <w:color w:val="auto"/>
          <w:sz w:val="24"/>
          <w:szCs w:val="24"/>
          <w:highlight w:val="none"/>
        </w:rPr>
      </w:r>
      <w:r/>
    </w:p>
    <w:p>
      <w:pPr>
        <w:ind w:right="-159"/>
        <w:jc w:val="left"/>
        <w:spacing w:line="480" w:lineRule="auto"/>
        <w:widowControl/>
        <w:rPr>
          <w:b/>
          <w:color w:val="auto"/>
          <w:sz w:val="24"/>
          <w:szCs w:val="24"/>
          <w:highlight w:val="none"/>
        </w:rPr>
      </w:pPr>
      <w:r>
        <w:rPr>
          <w:b/>
          <w:color w:val="auto"/>
          <w:sz w:val="24"/>
          <w:szCs w:val="24"/>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rFonts w:hint="eastAsia"/>
          <w:color w:val="auto"/>
          <w:sz w:val="30"/>
          <w:szCs w:val="20"/>
          <w:highlight w:val="none"/>
        </w:rPr>
        <w:t xml:space="preserve">苏州市卫康招投标咨询服务有限公司</w:t>
      </w:r>
      <w:r/>
    </w:p>
    <w:p>
      <w:pPr>
        <w:ind w:firstLine="3150"/>
        <w:jc w:val="left"/>
        <w:spacing w:line="360" w:lineRule="auto"/>
        <w:widowControl/>
        <w:rPr>
          <w:color w:val="auto"/>
          <w:sz w:val="30"/>
          <w:szCs w:val="20"/>
          <w:highlight w:val="none"/>
        </w:rPr>
      </w:pPr>
      <w:r>
        <w:rPr>
          <w:rFonts w:hint="eastAsia"/>
          <w:color w:val="auto"/>
          <w:sz w:val="30"/>
          <w:szCs w:val="20"/>
          <w:highlight w:val="none"/>
        </w:rPr>
        <w:t xml:space="preserve">二〇二五年</w:t>
      </w:r>
      <w:r>
        <w:rPr>
          <w:rFonts w:hint="eastAsia"/>
          <w:color w:val="auto"/>
          <w:sz w:val="30"/>
          <w:szCs w:val="20"/>
          <w:highlight w:val="none"/>
          <w:lang w:val="en-US" w:eastAsia="zh-CN"/>
        </w:rPr>
        <w:t xml:space="preserve">十</w:t>
      </w:r>
      <w:r>
        <w:rPr>
          <w:rFonts w:hint="eastAsia"/>
          <w:color w:val="auto"/>
          <w:sz w:val="30"/>
          <w:szCs w:val="20"/>
          <w:highlight w:val="none"/>
        </w:rPr>
        <w:t xml:space="preserve">月</w:t>
      </w:r>
      <w:r/>
    </w:p>
    <w:p>
      <w:pPr>
        <w:jc w:val="center"/>
        <w:spacing w:line="360" w:lineRule="auto"/>
        <w:widowControl/>
        <w:rPr>
          <w:rFonts w:ascii="宋体" w:hAnsi="宋体"/>
          <w:bCs/>
          <w:color w:val="auto"/>
          <w:sz w:val="30"/>
          <w:szCs w:val="20"/>
          <w:highlight w:val="none"/>
        </w:rPr>
      </w:pPr>
      <w:r>
        <w:rPr>
          <w:rFonts w:ascii="宋体" w:hAnsi="宋体"/>
          <w:bCs/>
          <w:color w:val="auto"/>
          <w:sz w:val="30"/>
          <w:szCs w:val="20"/>
          <w:highlight w:val="none"/>
        </w:rPr>
      </w:r>
      <w:r/>
    </w:p>
    <w:p>
      <w:pPr>
        <w:jc w:val="left"/>
        <w:widowControl/>
        <w:rPr>
          <w:rFonts w:ascii="宋体" w:hAnsi="宋体"/>
          <w:bCs/>
          <w:color w:val="auto"/>
          <w:sz w:val="30"/>
          <w:szCs w:val="20"/>
          <w:highlight w:val="none"/>
        </w:rPr>
      </w:pPr>
      <w:r>
        <w:rPr>
          <w:rFonts w:ascii="宋体" w:hAnsi="宋体"/>
          <w:bCs/>
          <w:color w:val="auto"/>
          <w:sz w:val="30"/>
          <w:szCs w:val="20"/>
          <w:highlight w:val="none"/>
        </w:rPr>
      </w:r>
      <w:r/>
    </w:p>
    <w:p>
      <w:pPr>
        <w:jc w:val="left"/>
        <w:widowControl/>
        <w:rPr>
          <w:rFonts w:ascii="宋体" w:hAnsi="宋体"/>
          <w:b/>
          <w:color w:val="auto"/>
          <w:sz w:val="52"/>
          <w:szCs w:val="20"/>
          <w:highlight w:val="none"/>
        </w:rPr>
      </w:pPr>
      <w:r/>
      <w:bookmarkStart w:id="6" w:name="_Hlk114583521"/>
      <w:r>
        <w:rPr>
          <w:rFonts w:ascii="宋体" w:hAnsi="宋体"/>
          <w:b/>
          <w:color w:val="auto"/>
          <w:sz w:val="52"/>
          <w:szCs w:val="20"/>
          <w:highlight w:val="none"/>
        </w:rPr>
        <w:br w:type="page" w:clear="all"/>
      </w:r>
      <w:r/>
    </w:p>
    <w:p>
      <w:pPr>
        <w:ind w:firstLine="420"/>
        <w:jc w:val="center"/>
        <w:widowControl/>
        <w:rPr>
          <w:rFonts w:ascii="宋体" w:hAnsi="宋体"/>
          <w:b/>
          <w:color w:val="auto"/>
          <w:sz w:val="52"/>
          <w:szCs w:val="20"/>
          <w:highlight w:val="none"/>
        </w:rPr>
      </w:pPr>
      <w:r>
        <w:rPr>
          <w:rFonts w:hint="eastAsia" w:ascii="宋体" w:hAnsi="宋体"/>
          <w:b/>
          <w:color w:val="auto"/>
          <w:sz w:val="52"/>
          <w:szCs w:val="20"/>
          <w:highlight w:val="none"/>
        </w:rPr>
        <w:t xml:space="preserve">目    录</w:t>
      </w:r>
      <w:r/>
    </w:p>
    <w:p>
      <w:pPr>
        <w:jc w:val="center"/>
        <w:widowControl/>
        <w:rPr>
          <w:rFonts w:ascii="宋体" w:hAnsi="宋体"/>
          <w:b/>
          <w:color w:val="auto"/>
          <w:sz w:val="36"/>
          <w:szCs w:val="20"/>
          <w:highlight w:val="none"/>
        </w:rPr>
      </w:pPr>
      <w:r>
        <w:rPr>
          <w:rFonts w:ascii="宋体" w:hAnsi="宋体"/>
          <w:b/>
          <w:color w:val="auto"/>
          <w:sz w:val="36"/>
          <w:szCs w:val="20"/>
          <w:highlight w:val="none"/>
        </w:rPr>
      </w:r>
      <w:r/>
    </w:p>
    <w:p>
      <w:pPr>
        <w:jc w:val="left"/>
        <w:spacing w:line="380" w:lineRule="exact"/>
        <w:widowControl/>
        <w:rPr>
          <w:rFonts w:ascii="宋体" w:hAnsi="宋体"/>
          <w:b/>
          <w:bCs/>
          <w:color w:val="auto"/>
          <w:sz w:val="24"/>
          <w:szCs w:val="24"/>
          <w:highlight w:val="none"/>
        </w:rPr>
      </w:pPr>
      <w:r>
        <w:rPr>
          <w:rFonts w:ascii="宋体" w:hAnsi="宋体"/>
          <w:b/>
          <w:bCs/>
          <w:color w:val="auto"/>
          <w:sz w:val="24"/>
          <w:szCs w:val="24"/>
          <w:highlight w:val="none"/>
        </w:rPr>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前附表 </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第一章  投标邀请函</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第二章  投标人须知</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第三章  投标文件格式</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第四章  采购书</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第五章  拟签订合同主要条款</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第六章  评标方法及评分标准</w:t>
      </w:r>
      <w:r/>
    </w:p>
    <w:p>
      <w:pPr>
        <w:pStyle w:val="740"/>
        <w:rPr>
          <w:rFonts w:ascii="宋体" w:hAnsi="宋体"/>
          <w:color w:val="auto"/>
          <w:sz w:val="36"/>
          <w:szCs w:val="24"/>
          <w:highlight w:val="none"/>
        </w:rPr>
      </w:pPr>
      <w:r>
        <w:rPr>
          <w:rFonts w:hint="eastAsia" w:ascii="宋体" w:hAnsi="宋体"/>
          <w:color w:val="auto"/>
          <w:sz w:val="36"/>
          <w:szCs w:val="24"/>
          <w:highlight w:val="none"/>
        </w:rPr>
        <w:t xml:space="preserve">附件</w:t>
      </w:r>
      <w:bookmarkEnd w:id="6"/>
      <w:r/>
      <w:r/>
    </w:p>
    <w:p>
      <w:pPr>
        <w:jc w:val="center"/>
        <w:spacing w:before="50" w:line="400" w:lineRule="exact"/>
        <w:widowControl/>
        <w:rPr>
          <w:rFonts w:ascii="宋体" w:hAnsi="宋体"/>
          <w:b/>
          <w:color w:val="auto"/>
          <w:sz w:val="36"/>
          <w:szCs w:val="20"/>
          <w:highlight w:val="none"/>
        </w:rPr>
      </w:pPr>
      <w:r>
        <w:rPr>
          <w:rFonts w:ascii="宋体" w:hAnsi="宋体"/>
          <w:color w:val="auto"/>
          <w:sz w:val="32"/>
          <w:szCs w:val="24"/>
          <w:highlight w:val="none"/>
        </w:rPr>
        <w:br w:type="page" w:clear="all"/>
      </w:r>
      <w:r>
        <w:rPr>
          <w:rFonts w:hint="eastAsia" w:ascii="宋体" w:hAnsi="宋体"/>
          <w:b/>
          <w:color w:val="auto"/>
          <w:sz w:val="36"/>
          <w:szCs w:val="20"/>
          <w:highlight w:val="none"/>
        </w:rPr>
        <w:t xml:space="preserve">前 附 表</w:t>
      </w:r>
      <w:r/>
    </w:p>
    <w:p>
      <w:pPr>
        <w:jc w:val="center"/>
        <w:spacing w:before="156" w:line="360" w:lineRule="auto"/>
        <w:widowControl/>
        <w:rPr>
          <w:rFonts w:ascii="宋体" w:hAnsi="宋体"/>
          <w:color w:val="auto"/>
          <w:szCs w:val="21"/>
          <w:highlight w:val="none"/>
        </w:rPr>
      </w:pPr>
      <w:r>
        <w:rPr>
          <w:rFonts w:ascii="宋体" w:hAnsi="宋体"/>
          <w:color w:val="auto"/>
          <w:szCs w:val="21"/>
          <w:highlight w:val="none"/>
        </w:rPr>
        <w:t xml:space="preserve">（下列附表说明是对</w:t>
      </w:r>
      <w:r>
        <w:rPr>
          <w:rFonts w:hint="eastAsia" w:ascii="宋体" w:hAnsi="宋体"/>
          <w:color w:val="auto"/>
          <w:szCs w:val="21"/>
          <w:highlight w:val="none"/>
        </w:rPr>
        <w:t xml:space="preserve">采购文件</w:t>
      </w:r>
      <w:r>
        <w:rPr>
          <w:rFonts w:ascii="宋体" w:hAnsi="宋体"/>
          <w:color w:val="auto"/>
          <w:szCs w:val="21"/>
          <w:highlight w:val="none"/>
        </w:rPr>
        <w:t xml:space="preserve">的具体补充和修正，如有矛盾之处以本附表为准）</w:t>
      </w:r>
      <w:r/>
    </w:p>
    <w:tbl>
      <w:tblPr>
        <w:tblStyle w:val="73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苏州市姑苏区财政局</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lang w:eastAsia="zh-CN"/>
              </w:rPr>
              <w:t xml:space="preserve">周俊鹤</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0512-68728411</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JSZC-320508-SZWK-G2025-0449</w:t>
            </w:r>
            <w:r>
              <w:rPr>
                <w:rFonts w:hint="eastAsia" w:ascii="宋体" w:hAnsi="宋体" w:cs="宋体"/>
                <w:color w:val="auto"/>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2025年苏州市姑苏区财政投资项目工程竣工结算评审委托协审服务</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九</w:t>
            </w:r>
            <w:r>
              <w:rPr>
                <w:rFonts w:hint="eastAsia" w:ascii="宋体" w:hAnsi="宋体" w:cs="宋体"/>
                <w:color w:val="auto"/>
                <w:szCs w:val="21"/>
                <w:highlight w:val="none"/>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投标保证金：无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  址：苏州市姑苏区干将西路1296号深业姑苏中心1幢17层      邮编：215005</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电话：0512-65237219  </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联系人：陆宇</w:t>
            </w:r>
            <w:r>
              <w:rPr>
                <w:rFonts w:hint="eastAsia" w:ascii="宋体" w:hAnsi="宋体" w:cs="宋体"/>
                <w:color w:val="auto"/>
                <w:szCs w:val="21"/>
                <w:highlight w:val="none"/>
              </w:rPr>
              <w:t xml:space="preserve">、张田、李东</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网上报名截止时间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自招标文件上网之日起五个工作日（北京时间）</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ascii="宋体" w:hAnsi="宋体" w:cs="宋体"/>
                <w:color w:val="auto"/>
                <w:szCs w:val="21"/>
                <w:highlight w:val="none"/>
              </w:rPr>
            </w:pPr>
            <w:r>
              <w:rPr>
                <w:rFonts w:hint="eastAsia" w:ascii="宋体" w:hAnsi="宋体" w:cs="宋体"/>
                <w:color w:val="auto"/>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ascii="宋体" w:hAnsi="宋体" w:cs="宋体"/>
                <w:color w:val="auto"/>
                <w:szCs w:val="21"/>
                <w:highlight w:val="none"/>
              </w:rPr>
            </w:pPr>
            <w:r>
              <w:rPr>
                <w:rFonts w:hint="eastAsia" w:ascii="宋体" w:hAnsi="宋体" w:cs="宋体"/>
                <w:color w:val="auto"/>
                <w:szCs w:val="21"/>
                <w:highlight w:val="none"/>
                <w:lang w:val="zh-CN"/>
              </w:rPr>
              <w:t xml:space="preserve">投标人对采购文件如有疑问，请按网上相关流程提出。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rPr>
              <w:t xml:space="preserve">截止</w:t>
            </w:r>
            <w:r>
              <w:rPr>
                <w:rFonts w:hint="eastAsia" w:ascii="宋体" w:hAnsi="宋体" w:cs="宋体"/>
                <w:color w:val="auto"/>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2025年10月31日9点30分</w:t>
            </w:r>
            <w:r>
              <w:rPr>
                <w:rFonts w:hint="eastAsia" w:ascii="宋体" w:hAnsi="宋体" w:cs="宋体"/>
                <w:color w:val="auto"/>
                <w:szCs w:val="21"/>
                <w:highlight w:val="none"/>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开标时间</w:t>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时间：</w:t>
            </w:r>
            <w:r>
              <w:rPr>
                <w:rFonts w:hint="eastAsia" w:ascii="宋体" w:hAnsi="宋体" w:cs="宋体"/>
                <w:color w:val="auto"/>
                <w:szCs w:val="21"/>
                <w:highlight w:val="none"/>
                <w:lang w:eastAsia="zh-CN"/>
              </w:rPr>
              <w:t xml:space="preserve">2025年10月31日9点30分</w:t>
            </w:r>
            <w:r>
              <w:rPr>
                <w:rFonts w:hint="eastAsia" w:ascii="宋体" w:hAnsi="宋体" w:cs="宋体"/>
                <w:color w:val="auto"/>
                <w:szCs w:val="21"/>
                <w:highlight w:val="none"/>
                <w:lang w:val="zh-CN"/>
              </w:rPr>
              <w:t xml:space="preserve">（北京时间）</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地点：苏州市姑苏区平泷路251号城市生活广场西楼五楼，苏州市公共资源交易中心</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领取中标通知时中标人向采购代理机构支付服务费，具体为：按预算金额的如下比例差额定率累进法计算服务费收取额，领取中标通知书时中标人向采购代理机构一次性付清。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100万元以下部分1.5%</w:t>
            </w:r>
            <w:r/>
          </w:p>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100万元（含）~ 500万元部分1.1%</w:t>
            </w:r>
            <w:r/>
          </w:p>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500万元（含）~ 1000万元部分0.8%</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1000万元（含）~ 5000万元部分0.5%</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服务费交纳账户：苏州市卫康招投标咨询服务有限公司</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账号：1102020209000295112</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出现下列情形之一的，为废标： </w:t>
            </w:r>
            <w:r/>
          </w:p>
          <w:p>
            <w:pPr>
              <w:jc w:val="left"/>
              <w:spacing w:line="36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（一）符合专业条件的供应商或者对采购文件作实质响应的供应商不足三家的； </w:t>
            </w:r>
            <w:r/>
          </w:p>
          <w:p>
            <w:pPr>
              <w:jc w:val="left"/>
              <w:spacing w:line="360" w:lineRule="atLeast"/>
              <w:widowControl/>
              <w:rPr>
                <w:rFonts w:ascii="宋体" w:hAnsi="宋体" w:cs="宋体"/>
                <w:color w:val="auto"/>
                <w:szCs w:val="21"/>
                <w:highlight w:val="none"/>
              </w:rPr>
            </w:pPr>
            <w:r>
              <w:rPr>
                <w:rFonts w:hint="eastAsia" w:ascii="宋体" w:hAnsi="宋体" w:cs="宋体"/>
                <w:color w:val="auto"/>
                <w:szCs w:val="21"/>
                <w:highlight w:val="none"/>
              </w:rPr>
              <w:t xml:space="preserve">（二）出现影响采购公正的违法、违规行为的； </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（三）因重大变故，采购任务取消的</w:t>
            </w:r>
            <w:r>
              <w:rPr>
                <w:rFonts w:hint="eastAsia" w:ascii="宋体" w:hAnsi="宋体" w:cs="宋体"/>
                <w:color w:val="auto"/>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导致无效标</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投标文件属下列情况之一的，按照无效投标处理：</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（一）投标文件未按采购文件要求签署、盖章的；</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）不具备采购文件中规定的资格要求的；</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）投标文件含有采购人不能接受的附加条件的；</w:t>
            </w:r>
            <w:r/>
          </w:p>
          <w:p>
            <w:pPr>
              <w:spacing w:line="40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）法律、法规和采购文件规定的其他无效情形。</w:t>
            </w:r>
            <w:r/>
          </w:p>
        </w:tc>
      </w:tr>
    </w:tbl>
    <w:p>
      <w:pPr>
        <w:jc w:val="left"/>
        <w:widowControl/>
        <w:rPr>
          <w:rFonts w:ascii="宋体" w:hAnsi="宋体"/>
          <w:color w:val="auto"/>
          <w:sz w:val="24"/>
          <w:szCs w:val="20"/>
          <w:highlight w:val="none"/>
        </w:rPr>
      </w:pPr>
      <w:r/>
      <w:bookmarkStart w:id="7" w:name="_Toc142194255"/>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center"/>
        <w:spacing w:line="400" w:lineRule="exact"/>
        <w:widowControl/>
        <w:rPr>
          <w:rFonts w:ascii="宋体" w:hAnsi="宋体"/>
          <w:color w:val="auto"/>
          <w:sz w:val="36"/>
          <w:szCs w:val="36"/>
          <w:highlight w:val="none"/>
        </w:rPr>
      </w:pPr>
      <w:r>
        <w:rPr>
          <w:rFonts w:ascii="宋体" w:hAnsi="宋体"/>
          <w:color w:val="auto"/>
          <w:sz w:val="36"/>
          <w:szCs w:val="36"/>
          <w:highlight w:val="none"/>
        </w:rPr>
        <w:br w:type="page" w:clear="all"/>
      </w:r>
      <w:r>
        <w:rPr>
          <w:rFonts w:hint="eastAsia" w:ascii="宋体" w:hAnsi="宋体"/>
          <w:b/>
          <w:color w:val="auto"/>
          <w:sz w:val="36"/>
          <w:szCs w:val="36"/>
          <w:highlight w:val="none"/>
        </w:rPr>
        <w:t xml:space="preserve">第一章  投标邀请函</w:t>
      </w:r>
      <w:bookmarkEnd w:id="7"/>
      <w:r/>
      <w:r/>
    </w:p>
    <w:p>
      <w:pPr>
        <w:ind w:right="32"/>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受苏州市姑苏区财政局之委托，苏州市卫康招投标咨询服务有限公司作为采购代理机构，对2025年苏州市姑苏区财政投资项目工程竣工结算评审委托协审服务进行国内公开招标。欢迎符合资格条件的供应商前来参加投标。</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1、采购编号：</w:t>
      </w:r>
      <w:r>
        <w:rPr>
          <w:rFonts w:hint="eastAsia" w:ascii="宋体" w:hAnsi="宋体" w:cs="宋体"/>
          <w:color w:val="auto"/>
          <w:sz w:val="24"/>
          <w:szCs w:val="24"/>
          <w:highlight w:val="none"/>
          <w:lang w:eastAsia="zh-CN"/>
        </w:rPr>
        <w:t xml:space="preserve">JSZC-320508-SZWK-G2025-0449</w:t>
      </w:r>
      <w:r>
        <w:rPr>
          <w:rFonts w:hint="eastAsia" w:ascii="宋体" w:hAnsi="宋体" w:cs="宋体"/>
          <w:color w:val="auto"/>
          <w:sz w:val="24"/>
          <w:szCs w:val="24"/>
          <w:highlight w:val="none"/>
        </w:rPr>
        <w:t xml:space="preserve">号</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2、采购内容：2025年苏州市姑苏区财政投资项目工程竣工结算评审委托协审服务</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3、预算总金额：人民币伍佰陆拾万元整（￥5600000.00）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标段一：陆拾万元整（￥600000.00）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标段二：肆拾玖万元整（￥490000.00）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标段三：叁拾玖万元整（￥390000.00）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标段四：叁拾伍万元整（￥350000.00）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标段五：叁拾叁万元整（￥330000.00）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标段六：叁拾贰万元整（￥320000.00）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标段七：叁拾壹万元整（￥310000.00）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标段八：叁拾万元整（￥300000.00）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标段九：叁拾万元整（￥300000.00）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标段十：贰拾玖万元整（￥290000.00）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标段十一：贰拾捌万元整（￥280000.00）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标段十二：贰拾捌万元整（￥280000.00）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标段十三：贰拾陆万元整（￥260000.00）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标段十四：贰拾陆万元整（￥260000.00）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标段十五：贰拾伍万元整（￥250000.00）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标段十六：贰拾贰万元整（￥220000.00）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标段十七：壹拾玖万元整（￥190000.00）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标段十八：壹拾捌万元整（￥180000.00）</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最高限价：同各标段预算</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4、投标截止时间：</w:t>
      </w:r>
      <w:r>
        <w:rPr>
          <w:rFonts w:hint="eastAsia" w:ascii="宋体" w:hAnsi="宋体" w:cs="宋体"/>
          <w:color w:val="auto"/>
          <w:sz w:val="24"/>
          <w:szCs w:val="24"/>
          <w:highlight w:val="none"/>
          <w:lang w:eastAsia="zh-CN"/>
        </w:rPr>
        <w:t xml:space="preserve">2025年10月31日9点30分</w:t>
      </w:r>
      <w:r>
        <w:rPr>
          <w:rFonts w:hint="eastAsia" w:ascii="宋体" w:hAnsi="宋体" w:cs="宋体"/>
          <w:color w:val="auto"/>
          <w:sz w:val="24"/>
          <w:szCs w:val="24"/>
          <w:highlight w:val="none"/>
        </w:rPr>
        <w:t xml:space="preserve">（北京时间）</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5、开标时间：</w:t>
      </w:r>
      <w:r>
        <w:rPr>
          <w:rFonts w:hint="eastAsia" w:ascii="宋体" w:hAnsi="宋体" w:cs="宋体"/>
          <w:color w:val="auto"/>
          <w:sz w:val="24"/>
          <w:szCs w:val="24"/>
          <w:highlight w:val="none"/>
          <w:lang w:eastAsia="zh-CN"/>
        </w:rPr>
        <w:t xml:space="preserve">2025年10月31日9点30分</w:t>
      </w:r>
      <w:r>
        <w:rPr>
          <w:rFonts w:hint="eastAsia" w:ascii="宋体" w:hAnsi="宋体" w:cs="宋体"/>
          <w:color w:val="auto"/>
          <w:sz w:val="24"/>
          <w:szCs w:val="24"/>
          <w:highlight w:val="none"/>
        </w:rPr>
        <w:t xml:space="preserve">（北京时间）</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6、开标地点：</w:t>
      </w:r>
      <w:r>
        <w:rPr>
          <w:rFonts w:hint="eastAsia" w:ascii="宋体" w:hAnsi="宋体" w:cs="宋体"/>
          <w:color w:val="auto"/>
          <w:sz w:val="24"/>
          <w:szCs w:val="24"/>
          <w:highlight w:val="none"/>
          <w:lang w:val="zh-CN"/>
        </w:rPr>
        <w:t xml:space="preserve">苏州市姑苏区平泷路251号城市生活广场西楼五楼，苏州市公共资源交易中心</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7、联系单位：</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（1）采购人：苏州市姑苏区财政局</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周俊鹤</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联系电话：</w:t>
      </w:r>
      <w:r>
        <w:rPr>
          <w:rFonts w:hint="eastAsia" w:ascii="宋体" w:hAnsi="宋体" w:cs="宋体"/>
          <w:color w:val="auto"/>
          <w:sz w:val="24"/>
          <w:szCs w:val="24"/>
          <w:highlight w:val="none"/>
        </w:rPr>
        <w:t xml:space="preserve">0512-68728411</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地址：苏州市姑苏区平川路510号1号楼</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（2）采购代理机构：苏州市卫康招投标咨询服务有限公司</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地址：苏州市姑苏区干将西路1296号深业姑苏中心1幢17层            </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邮编：215005</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联系人：陆宇、张田、李东</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联系电话：0512-65158848转8011/0512-65237219，0512-65153553 （FAX）</w:t>
      </w:r>
      <w:r/>
    </w:p>
    <w:p>
      <w:pPr>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请贵公司获取本采购文件后，认真阅读采购文件进行必要的投标准备，并按采购文件的要求编制投标文件，并按“前附表”确定的时间、地点准时参加投标。</w:t>
      </w:r>
      <w:r/>
    </w:p>
    <w:p>
      <w:pPr>
        <w:ind w:firstLine="420"/>
        <w:jc w:val="right"/>
        <w:rPr>
          <w:rFonts w:ascii="宋体" w:hAnsi="宋体"/>
          <w:b/>
          <w:color w:val="auto"/>
          <w:sz w:val="36"/>
          <w:szCs w:val="36"/>
          <w:highlight w:val="none"/>
        </w:rPr>
      </w:pPr>
      <w:r/>
      <w:bookmarkStart w:id="8" w:name="_Toc13642113"/>
      <w:r/>
      <w:bookmarkStart w:id="9" w:name="_Toc142194256"/>
      <w:r>
        <w:rPr>
          <w:rFonts w:ascii="宋体" w:hAnsi="宋体"/>
          <w:color w:val="auto"/>
          <w:sz w:val="36"/>
          <w:szCs w:val="36"/>
          <w:highlight w:val="none"/>
        </w:rPr>
        <w:br w:type="page" w:clear="all"/>
      </w:r>
      <w:bookmarkEnd w:id="8"/>
      <w:r/>
      <w:bookmarkEnd w:id="9"/>
      <w:r/>
      <w:r/>
    </w:p>
    <w:p>
      <w:pPr>
        <w:jc w:val="center"/>
        <w:spacing w:line="400" w:lineRule="exact"/>
        <w:widowControl/>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一、说明和释义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1.2本次采购活动及因本次采购产生的合同受中国法律制约和保护。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1.3本采购文件的解释权属于苏州市卫康招投标咨询服务有限公司。</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2、词语释义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 采购代理机构：具体组织实施采购活动的法人。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2.5采购人（甲方）：合同中明确规定的实际购买协审服务的法人或其他组织和自然人。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2.6中标人（乙方）：合同中规定的向采购方提供协审服务的法人或其他组织和自然人。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2.7 服务：系指本次招标采购文件规定中标人应承担的协审服务及与提供协审服务有关的辅助服务，比如咨询、人工、提供技术援助、培训、配合措施、应急响应等及合同中规定中标人应承担的其它一切应尽义务。</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2.8 天：日历日。</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 服务地点：合同中约定的地点。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2.10 合同价款：根据合同规定，乙方在正确地履行合同义务后甲方应支付乙方的价款。</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2.11 不可抗力：不能预见、不能避免并且不能克服的客观情况。</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2.12 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2.13 书面形式：指书面文字、合同书、信件和传真等可以有形地表现所载内容的形式。</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二、投标人（供应商）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3、供应商资格要求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详见招标公告。</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4、投标人代表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5、投标费用 </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5.1无论投标过程中的做法和结果如何，投标人自行承担所有与参加投标有关的全部费用。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6、联合体投标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本采购项目不接受联合体投标。</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三、采购文件的说明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8、采购文件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9、采购文件的询问与澄清（修改）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、采购文件的修改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、质疑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.1根据财政部94号令第十一条规定，提出质疑的供应商应当是参与所质疑项目采购活动的供应商。潜在供应商应当依法报名</w:t>
      </w:r>
      <w:r>
        <w:rPr>
          <w:rFonts w:hint="eastAsia" w:asciiTheme="minorEastAsia" w:hAnsiTheme="minorEastAsia" w:eastAsiaTheme="minorEastAsia"/>
          <w:bCs/>
          <w:color w:val="auto"/>
          <w:szCs w:val="21"/>
          <w:highlight w:val="none"/>
        </w:rPr>
        <w:t xml:space="preserve">获取</w:t>
      </w:r>
      <w:r>
        <w:rPr>
          <w:rFonts w:hint="eastAsia" w:asciiTheme="minorEastAsia" w:hAnsiTheme="minorEastAsia" w:eastAsiaTheme="minorEastAsia"/>
          <w:bCs/>
          <w:color w:val="auto"/>
          <w:szCs w:val="21"/>
          <w:highlight w:val="none"/>
          <w:lang w:val="zh-CN"/>
        </w:rPr>
        <w:t xml:space="preserve">本</w:t>
      </w:r>
      <w:r>
        <w:rPr>
          <w:rFonts w:hint="eastAsia" w:asciiTheme="minorEastAsia" w:hAnsiTheme="minorEastAsia" w:eastAsiaTheme="minorEastAsia"/>
          <w:bCs/>
          <w:color w:val="auto"/>
          <w:szCs w:val="21"/>
          <w:highlight w:val="none"/>
        </w:rPr>
        <w:t xml:space="preserve">采购</w:t>
      </w:r>
      <w:r>
        <w:rPr>
          <w:rFonts w:hint="eastAsia" w:asciiTheme="minorEastAsia" w:hAnsiTheme="minorEastAsia" w:eastAsiaTheme="minorEastAsia"/>
          <w:bCs/>
          <w:color w:val="auto"/>
          <w:szCs w:val="21"/>
          <w:highlight w:val="none"/>
          <w:lang w:val="zh-CN"/>
        </w:rPr>
        <w:t xml:space="preserve">文件后可以依法进行质疑。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接受质疑函的方式：当场送达或邮寄方式</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联系单位：苏州市卫康招投标咨询服务有限公司</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联系电话：0512-</w:t>
      </w:r>
      <w:r>
        <w:rPr>
          <w:rFonts w:hint="eastAsia" w:asciiTheme="minorEastAsia" w:hAnsiTheme="minorEastAsia" w:eastAsiaTheme="minorEastAsia"/>
          <w:bCs/>
          <w:color w:val="auto"/>
          <w:szCs w:val="21"/>
          <w:highlight w:val="none"/>
        </w:rPr>
        <w:t xml:space="preserve">69165625</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7 通讯地址：苏州市姑苏区干将西路1296号深业姑苏中心1幢17层。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四、投标文件说明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12、提示与要求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13、投标文件计量单位和使用文字</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、投标文件的组成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14.1投标函；</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14.2法人（负责人）授权委托书（如有授权）；</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14.3投标人《营业执照》副本复印件；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14.4投标人企业法人（负责人）身份证复印件；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14.5被委托人身份证复印件（如有授权）；</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14.6拟派人员情况一览表；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14.7相关项目一览表；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14.8内部控制制度：</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14.8.1质量控制制度；</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14.8.2应急和保密制度；</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14.8.3档案管理制度；</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14.9服务方案：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14.9.1针对本项目人员分工方案；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14.9.2针对本项目责任划定方案；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14.9.3针对本项目服务质量保证措施方案；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14.9.4针对本项目的其他服务措施（如有）；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14.10其他资料：</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14.10.1可以证明企业资信、质量服务的证书、文件、推荐信等；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14.10.2投标人自己认为需要提供的资料及评分办法中所涉及到的资料；</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14.11投标书说明（如有）。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14.12资格条件的证明材料（如不提供或经审查不符合投标资格要求，视为无效投标）；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14.12.1法人或者其他组织的营业执照等证明文件，自然人的身份证明；（ 投标人营业执照副本复印件，投标人法定代表人身份证复印件，法人授权委托书（如有授权），投标人代理人身份证复印件（如有授权））；</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14.12.2良好的商业信誉和健全的财务会计制度证明的相关材料（提供最近一期经审计的财务报告或银行出具的资信证明）；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14.12.3有依法缴纳税收和社会保障资金的良好记录的相关材料（最近一期依法缴纳税收和社会保障资金的凭证）；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14.12.4承诺具备履行合同所必需的设备和专业技术能力的证明材料；</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14.12.5参加政府采购活动前3年内在经营活动中没有重大违法记录的书面声明（原件）；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14.13中小企业声明函（如属）或残疾人福利性单位声明函（如属）或监狱企业证明材料（如属）；</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以上资料必须与投标文件中的内容完全一致</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投标文件由1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.1~1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13</w:t>
      </w:r>
      <w:r>
        <w:rPr>
          <w:rFonts w:hint="eastAsia" w:asciiTheme="minorEastAsia" w:hAnsiTheme="minorEastAsia" w:eastAsiaTheme="minorEastAsia"/>
          <w:bCs/>
          <w:color w:val="auto"/>
          <w:szCs w:val="21"/>
          <w:highlight w:val="none"/>
          <w:lang w:val="zh-CN"/>
        </w:rPr>
        <w:t xml:space="preserve">款规定的内容共同组成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、投标文件编制要求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.1投标文件按上述统一顺序、统一格式编写，并在首页编制“投标文件目录”，</w:t>
      </w:r>
      <w:r>
        <w:rPr>
          <w:rFonts w:hint="eastAsia" w:asciiTheme="minorEastAsia" w:hAnsiTheme="minorEastAsia" w:eastAsiaTheme="minorEastAsia"/>
          <w:bCs/>
          <w:color w:val="auto"/>
          <w:szCs w:val="21"/>
          <w:highlight w:val="none"/>
        </w:rPr>
        <w:t xml:space="preserve">上传电子投标系统</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、投标文件的份数和签署</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.1投标人应按本须知的规定，编制</w:t>
      </w:r>
      <w:r>
        <w:rPr>
          <w:rFonts w:hint="eastAsia" w:asciiTheme="minorEastAsia" w:hAnsiTheme="minorEastAsia" w:eastAsiaTheme="minorEastAsia"/>
          <w:bCs/>
          <w:color w:val="auto"/>
          <w:szCs w:val="21"/>
          <w:highlight w:val="none"/>
        </w:rPr>
        <w:t xml:space="preserve">电子投标文件</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7</w:t>
      </w:r>
      <w:r>
        <w:rPr>
          <w:rFonts w:hint="eastAsia" w:asciiTheme="minorEastAsia" w:hAnsiTheme="minorEastAsia" w:eastAsiaTheme="minorEastAsia"/>
          <w:bCs/>
          <w:color w:val="auto"/>
          <w:szCs w:val="21"/>
          <w:highlight w:val="none"/>
          <w:lang w:val="zh-CN"/>
        </w:rPr>
        <w:t xml:space="preserve">、投标保证金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无</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、投标文件的有效期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五、投标文件的递交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、投标文件的密封及标记</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w:t>
      </w:r>
      <w:r>
        <w:rPr>
          <w:rFonts w:hint="eastAsia" w:asciiTheme="minorEastAsia" w:hAnsiTheme="minorEastAsia" w:eastAsiaTheme="minorEastAsia"/>
          <w:bCs/>
          <w:color w:val="auto"/>
          <w:szCs w:val="21"/>
          <w:highlight w:val="none"/>
          <w:lang w:val="zh-CN"/>
        </w:rPr>
        <w:t xml:space="preserve">、投标文件的递交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20.1投标文件必须在投标截止时间上传至苏采云电子招投标平台。</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20.2逾期上传的投标文件，采购人、采购代理机构应当拒收。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20.3至投标截止时间对应标段投标人不足3家的，不得开标</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、投标文件的修改和撤销</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.2开标后投标人不得撤销投标。</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六、开标和评标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22、开标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22.6技术支持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在网上报名过程中如有疑问，请及时联系：</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CA技术咨询服务电话：400-608-6099</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电子签章技术咨询服务电话：15380932027、15371015030、13675197356、13675197221</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22.7澄清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23、资格审查</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23.1公开招标采购项目开标结束后，采购人或者采购代理机构应当依法对投标人的资格进行审查。</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23.2.1查询时间：投标文件递交截止时间。</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23.2.2查询渠道：统一登录“供应商信用查询”系统查询供应商的信用记录。“供应商信用查询”系统实时提供来自中国政府采购网、信用中国、信用江苏、诚信苏州网站的相关主体信用记录。</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23.2.3查询证据留存方式：对存在失信信息的供应商，评标委员会应填写《苏州市级政府采购供应商失信信息确认函》，由失信供应商应签名确认。同时，采购代理机构工作人员应登陆到来源网站页面进行复核并打印，作为证据留存。</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23.4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23.5资格审查合格投标人不足3家的，不得评标。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24、评标委员会</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.1评标委员会成员依法组建；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评标委员会</w:t>
      </w:r>
      <w:r>
        <w:rPr>
          <w:rFonts w:hint="eastAsia" w:asciiTheme="minorEastAsia" w:hAnsiTheme="minorEastAsia" w:eastAsiaTheme="minorEastAsia"/>
          <w:bCs/>
          <w:color w:val="auto"/>
          <w:szCs w:val="21"/>
          <w:highlight w:val="none"/>
          <w:lang w:val="zh-CN"/>
        </w:rPr>
        <w:t xml:space="preserve">将</w:t>
      </w:r>
      <w:r>
        <w:rPr>
          <w:rFonts w:asciiTheme="minorEastAsia" w:hAnsiTheme="minorEastAsia" w:eastAsiaTheme="minorEastAsia"/>
          <w:bCs/>
          <w:color w:val="auto"/>
          <w:szCs w:val="21"/>
          <w:highlight w:val="none"/>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负责具体的评标事务，并独立履行以下职责</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.1</w:t>
      </w:r>
      <w:r>
        <w:rPr>
          <w:rFonts w:asciiTheme="minorEastAsia" w:hAnsiTheme="minorEastAsia" w:eastAsiaTheme="minorEastAsia"/>
          <w:bCs/>
          <w:color w:val="auto"/>
          <w:szCs w:val="21"/>
          <w:highlight w:val="none"/>
          <w:lang w:val="zh-CN"/>
        </w:rPr>
        <w:t xml:space="preserve">审查、评价投标文件是否符合招标文件的商务、</w:t>
      </w:r>
      <w:r>
        <w:rPr>
          <w:rFonts w:hint="eastAsia" w:asciiTheme="minorEastAsia" w:hAnsiTheme="minorEastAsia" w:eastAsiaTheme="minorEastAsia"/>
          <w:bCs/>
          <w:color w:val="auto"/>
          <w:szCs w:val="21"/>
          <w:highlight w:val="none"/>
        </w:rPr>
        <w:t xml:space="preserve">服务方案</w:t>
      </w:r>
      <w:r>
        <w:rPr>
          <w:rFonts w:asciiTheme="minorEastAsia" w:hAnsiTheme="minorEastAsia" w:eastAsiaTheme="minorEastAsia"/>
          <w:bCs/>
          <w:color w:val="auto"/>
          <w:szCs w:val="21"/>
          <w:highlight w:val="none"/>
          <w:lang w:val="zh-CN"/>
        </w:rPr>
        <w:t xml:space="preserve">等实质性要求；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要求投标人对投标文件有关事项作出澄清或者说明；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对投标文件进行比较和评价；</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.4推荐中标候选人</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.5</w:t>
      </w:r>
      <w:r>
        <w:rPr>
          <w:rFonts w:asciiTheme="minorEastAsia" w:hAnsiTheme="minorEastAsia" w:eastAsiaTheme="minorEastAsia"/>
          <w:bCs/>
          <w:color w:val="auto"/>
          <w:szCs w:val="21"/>
          <w:highlight w:val="none"/>
          <w:lang w:val="zh-CN"/>
        </w:rPr>
        <w:t xml:space="preserve">向采购人、采购代理机构或者有关部门报告评标中发现的违法行为</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成员应当履行下列义务：</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.1遵纪守法，客观、公正、廉洁地履行职责；</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.3对评标过程和结果，以及投标人的商业秘密保密；</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.4参与评标报告的起草；</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.5配合招标采购人答复投标人提出的质疑；</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.6配合</w:t>
      </w:r>
      <w:r>
        <w:rPr>
          <w:rFonts w:hint="eastAsia" w:asciiTheme="minorEastAsia" w:hAnsiTheme="minorEastAsia" w:eastAsiaTheme="minorEastAsia"/>
          <w:bCs/>
          <w:color w:val="auto"/>
          <w:szCs w:val="21"/>
          <w:highlight w:val="none"/>
          <w:lang w:val="zh-CN"/>
        </w:rPr>
        <w:t xml:space="preserve">有关</w:t>
      </w:r>
      <w:r>
        <w:rPr>
          <w:rFonts w:asciiTheme="minorEastAsia" w:hAnsiTheme="minorEastAsia" w:eastAsiaTheme="minorEastAsia"/>
          <w:bCs/>
          <w:color w:val="auto"/>
          <w:szCs w:val="21"/>
          <w:highlight w:val="none"/>
          <w:lang w:val="zh-CN"/>
        </w:rPr>
        <w:t xml:space="preserve">部门的投诉处理工作。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、评标内容的保密</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asciiTheme="minorEastAsia" w:hAnsiTheme="minorEastAsia" w:eastAsiaTheme="minorEastAsia"/>
          <w:bCs/>
          <w:color w:val="auto"/>
          <w:szCs w:val="21"/>
          <w:highlight w:val="none"/>
          <w:lang w:val="zh-CN"/>
        </w:rPr>
        <w:t xml:space="preserve">、对投标文件初审</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26.2</w:t>
      </w:r>
      <w:r>
        <w:rPr>
          <w:rFonts w:hint="eastAsia" w:asciiTheme="minorEastAsia" w:hAnsiTheme="minorEastAsia" w:eastAsiaTheme="minorEastAsia"/>
          <w:bCs/>
          <w:color w:val="auto"/>
          <w:szCs w:val="21"/>
          <w:highlight w:val="none"/>
          <w:lang w:val="zh-CN"/>
        </w:rPr>
        <w:t xml:space="preserve">投标文件有下列情况之一者将被认定为无效投标：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.2.1投标文件未按照本须知规定签署和盖章；</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投标人拒绝修正错误；</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投标人的投标文件中出现评标委员会认为不应雷同的；</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其他被评标委员会认定无效的情况。</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color w:val="auto"/>
          <w:szCs w:val="21"/>
          <w:highlight w:val="none"/>
        </w:rPr>
        <w:t xml:space="preserve">采购人</w:t>
      </w:r>
      <w:r>
        <w:rPr>
          <w:rFonts w:hint="eastAsia" w:asciiTheme="minorEastAsia" w:hAnsiTheme="minorEastAsia" w:eastAsiaTheme="minorEastAsia"/>
          <w:bCs/>
          <w:color w:val="auto"/>
          <w:szCs w:val="21"/>
          <w:highlight w:val="none"/>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26.5</w:t>
      </w:r>
      <w:r>
        <w:rPr>
          <w:rFonts w:hint="eastAsia" w:asciiTheme="minorEastAsia" w:hAnsiTheme="minorEastAsia" w:eastAsiaTheme="minorEastAsia"/>
          <w:bCs/>
          <w:color w:val="auto"/>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26.6</w:t>
      </w:r>
      <w:r>
        <w:rPr>
          <w:rFonts w:hint="eastAsia" w:asciiTheme="minorEastAsia" w:hAnsiTheme="minorEastAsia" w:eastAsiaTheme="minorEastAsia"/>
          <w:bCs/>
          <w:color w:val="auto"/>
          <w:szCs w:val="21"/>
          <w:highlight w:val="none"/>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26.7</w:t>
      </w:r>
      <w:r>
        <w:rPr>
          <w:rFonts w:hint="eastAsia" w:asciiTheme="minorEastAsia" w:hAnsiTheme="minorEastAsia" w:eastAsiaTheme="minorEastAsia"/>
          <w:bCs/>
          <w:color w:val="auto"/>
          <w:szCs w:val="21"/>
          <w:highlight w:val="none"/>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26.8</w:t>
      </w:r>
      <w:r>
        <w:rPr>
          <w:rFonts w:asciiTheme="minorEastAsia" w:hAnsiTheme="minorEastAsia" w:eastAsiaTheme="minorEastAsia"/>
          <w:bCs/>
          <w:color w:val="auto"/>
          <w:szCs w:val="21"/>
          <w:highlight w:val="none"/>
          <w:lang w:val="zh-CN"/>
        </w:rPr>
        <w:t xml:space="preserve">对不同文字文本投标文件的解释发生异议的，以中文文本为准</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、废标</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.1 在招标过程中，出现下列情况之一的，应予废标：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27.1.1</w:t>
      </w:r>
      <w:r>
        <w:rPr>
          <w:rFonts w:asciiTheme="minorEastAsia" w:hAnsiTheme="minorEastAsia" w:eastAsiaTheme="minorEastAsia"/>
          <w:bCs/>
          <w:color w:val="auto"/>
          <w:szCs w:val="21"/>
          <w:highlight w:val="none"/>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27.1.2</w:t>
      </w:r>
      <w:r>
        <w:rPr>
          <w:rFonts w:asciiTheme="minorEastAsia" w:hAnsiTheme="minorEastAsia" w:eastAsiaTheme="minorEastAsia"/>
          <w:bCs/>
          <w:color w:val="auto"/>
          <w:szCs w:val="21"/>
          <w:highlight w:val="none"/>
          <w:lang w:val="zh-CN"/>
        </w:rPr>
        <w:t xml:space="preserve">出现影响采购公正的违法、违规行为的； </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27.1.3</w:t>
      </w:r>
      <w:r>
        <w:rPr>
          <w:rFonts w:asciiTheme="minorEastAsia" w:hAnsiTheme="minorEastAsia" w:eastAsiaTheme="minorEastAsia"/>
          <w:bCs/>
          <w:color w:val="auto"/>
          <w:szCs w:val="21"/>
          <w:highlight w:val="none"/>
          <w:lang w:val="zh-CN"/>
        </w:rPr>
        <w:t xml:space="preserve">因重大变故，采购任务取消的。 </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.2 废标后，采购代理机构将</w:t>
      </w:r>
      <w:r>
        <w:rPr>
          <w:rFonts w:hint="eastAsia" w:asciiTheme="minorEastAsia" w:hAnsiTheme="minorEastAsia" w:eastAsiaTheme="minorEastAsia"/>
          <w:bCs/>
          <w:color w:val="auto"/>
          <w:szCs w:val="21"/>
          <w:highlight w:val="none"/>
          <w:lang w:val="zh-CN"/>
        </w:rPr>
        <w:t xml:space="preserve">发布废标公告</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、投标文件的评价和比较</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.1评标委员会将仅对按照</w:t>
      </w:r>
      <w:r>
        <w:rPr>
          <w:rFonts w:hint="eastAsia" w:asciiTheme="minorEastAsia" w:hAnsiTheme="minorEastAsia" w:eastAsiaTheme="minorEastAsia"/>
          <w:bCs/>
          <w:color w:val="auto"/>
          <w:szCs w:val="21"/>
          <w:highlight w:val="none"/>
        </w:rPr>
        <w:t xml:space="preserve">采购文件</w:t>
      </w:r>
      <w:r>
        <w:rPr>
          <w:rFonts w:asciiTheme="minorEastAsia" w:hAnsiTheme="minorEastAsia" w:eastAsiaTheme="minorEastAsia"/>
          <w:bCs/>
          <w:color w:val="auto"/>
          <w:szCs w:val="21"/>
          <w:highlight w:val="none"/>
          <w:lang w:val="zh-CN"/>
        </w:rPr>
        <w:t xml:space="preserve">规定确定为实质上响应招标文件要求的投标文件</w:t>
      </w:r>
      <w:r>
        <w:rPr>
          <w:rFonts w:hint="eastAsia" w:asciiTheme="minorEastAsia" w:hAnsiTheme="minorEastAsia" w:eastAsiaTheme="minorEastAsia"/>
          <w:bCs/>
          <w:color w:val="auto"/>
          <w:szCs w:val="21"/>
          <w:highlight w:val="none"/>
          <w:lang w:val="zh-CN"/>
        </w:rPr>
        <w:t xml:space="preserve">进行评估，综合比较与评价</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.2评价和比较采用综合评分法，</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严格按照招标文件的规定要求、条件、评分标准，对投标人所提供</w:t>
      </w:r>
      <w:r>
        <w:rPr>
          <w:rFonts w:hint="eastAsia" w:asciiTheme="minorEastAsia" w:hAnsiTheme="minorEastAsia" w:eastAsiaTheme="minorEastAsia"/>
          <w:bCs/>
          <w:color w:val="auto"/>
          <w:szCs w:val="21"/>
          <w:highlight w:val="none"/>
        </w:rPr>
        <w:t xml:space="preserve">审计</w:t>
      </w:r>
      <w:r>
        <w:rPr>
          <w:rFonts w:asciiTheme="minorEastAsia" w:hAnsiTheme="minorEastAsia" w:eastAsiaTheme="minorEastAsia"/>
          <w:bCs/>
          <w:color w:val="auto"/>
          <w:szCs w:val="21"/>
          <w:highlight w:val="none"/>
          <w:lang w:val="zh-CN"/>
        </w:rPr>
        <w:t xml:space="preserve">服务的</w:t>
      </w:r>
      <w:r>
        <w:rPr>
          <w:rFonts w:hint="eastAsia" w:asciiTheme="minorEastAsia" w:hAnsiTheme="minorEastAsia" w:eastAsiaTheme="minorEastAsia"/>
          <w:bCs/>
          <w:color w:val="auto"/>
          <w:szCs w:val="21"/>
          <w:highlight w:val="none"/>
        </w:rPr>
        <w:t xml:space="preserve">科学</w:t>
      </w:r>
      <w:r>
        <w:rPr>
          <w:rFonts w:asciiTheme="minorEastAsia" w:hAnsiTheme="minorEastAsia" w:eastAsiaTheme="minorEastAsia"/>
          <w:bCs/>
          <w:color w:val="auto"/>
          <w:szCs w:val="21"/>
          <w:highlight w:val="none"/>
          <w:lang w:val="zh-CN"/>
        </w:rPr>
        <w:t xml:space="preserve">性、可靠性、</w:t>
      </w:r>
      <w:r>
        <w:rPr>
          <w:rFonts w:hint="eastAsia" w:asciiTheme="minorEastAsia" w:hAnsiTheme="minorEastAsia" w:eastAsiaTheme="minorEastAsia"/>
          <w:bCs/>
          <w:color w:val="auto"/>
          <w:szCs w:val="21"/>
          <w:highlight w:val="none"/>
        </w:rPr>
        <w:t xml:space="preserve">履约</w:t>
      </w:r>
      <w:r>
        <w:rPr>
          <w:rFonts w:asciiTheme="minorEastAsia" w:hAnsiTheme="minorEastAsia" w:eastAsiaTheme="minorEastAsia"/>
          <w:bCs/>
          <w:color w:val="auto"/>
          <w:szCs w:val="21"/>
          <w:highlight w:val="none"/>
          <w:lang w:val="zh-CN"/>
        </w:rPr>
        <w:t xml:space="preserve">服务承诺、质量保证承诺等实质性响应内容进行比较评价</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七、授予合同</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、中标人的确认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.1评标委员会根据投标人资格审查情况，对投标文件进行评价和比较，按照评标办法和标准</w:t>
      </w:r>
      <w:r>
        <w:rPr>
          <w:rFonts w:hint="eastAsia" w:asciiTheme="minorEastAsia" w:hAnsiTheme="minorEastAsia" w:eastAsiaTheme="minorEastAsia"/>
          <w:bCs/>
          <w:color w:val="auto"/>
          <w:szCs w:val="21"/>
          <w:highlight w:val="none"/>
        </w:rPr>
        <w:t xml:space="preserve">推荐中标候选人，并根据采购人的委托及评审结果确定中标人</w:t>
      </w:r>
      <w:r>
        <w:rPr>
          <w:rFonts w:asciiTheme="minorEastAsia" w:hAnsiTheme="minorEastAsia" w:eastAsiaTheme="minorEastAsia"/>
          <w:bCs/>
          <w:color w:val="auto"/>
          <w:szCs w:val="21"/>
          <w:highlight w:val="none"/>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color w:val="auto"/>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color w:val="auto"/>
          <w:szCs w:val="21"/>
          <w:highlight w:val="none"/>
          <w:lang w:val="zh-CN"/>
        </w:rPr>
        <w:t xml:space="preserve">采购代理机构将在收到质疑后七个工作日内对质疑内容做出答复。</w:t>
      </w:r>
      <w:r>
        <w:rPr>
          <w:rFonts w:hint="eastAsia" w:asciiTheme="minorEastAsia" w:hAnsiTheme="minorEastAsia" w:eastAsiaTheme="minorEastAsia"/>
          <w:bCs/>
          <w:color w:val="auto"/>
          <w:szCs w:val="21"/>
          <w:highlight w:val="none"/>
        </w:rPr>
        <w:t xml:space="preserve">超过</w:t>
      </w:r>
      <w:r>
        <w:rPr>
          <w:rFonts w:hint="eastAsia" w:asciiTheme="minorEastAsia" w:hAnsiTheme="minorEastAsia" w:eastAsiaTheme="minorEastAsia"/>
          <w:bCs/>
          <w:color w:val="auto"/>
          <w:szCs w:val="21"/>
          <w:highlight w:val="none"/>
          <w:lang w:val="zh-CN"/>
        </w:rPr>
        <w:t xml:space="preserve">期限</w:t>
      </w:r>
      <w:r>
        <w:rPr>
          <w:rFonts w:asciiTheme="minorEastAsia" w:hAnsiTheme="minorEastAsia" w:eastAsiaTheme="minorEastAsia"/>
          <w:bCs/>
          <w:color w:val="auto"/>
          <w:szCs w:val="21"/>
          <w:highlight w:val="none"/>
          <w:lang w:val="zh-CN"/>
        </w:rPr>
        <w:t xml:space="preserve">向采购代理机构提出质疑，采购代理机构</w:t>
      </w:r>
      <w:r>
        <w:rPr>
          <w:rFonts w:hint="eastAsia" w:asciiTheme="minorEastAsia" w:hAnsiTheme="minorEastAsia" w:eastAsiaTheme="minorEastAsia"/>
          <w:bCs/>
          <w:color w:val="auto"/>
          <w:szCs w:val="21"/>
          <w:highlight w:val="none"/>
        </w:rPr>
        <w:t xml:space="preserve">将</w:t>
      </w:r>
      <w:r>
        <w:rPr>
          <w:rFonts w:asciiTheme="minorEastAsia" w:hAnsiTheme="minorEastAsia" w:eastAsiaTheme="minorEastAsia"/>
          <w:bCs/>
          <w:color w:val="auto"/>
          <w:szCs w:val="21"/>
          <w:highlight w:val="none"/>
          <w:lang w:val="zh-CN"/>
        </w:rPr>
        <w:t xml:space="preserve">不予答复。</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29.3中标人数量：每个标段1家。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30</w:t>
      </w:r>
      <w:r>
        <w:rPr>
          <w:rFonts w:asciiTheme="minorEastAsia" w:hAnsiTheme="minorEastAsia" w:eastAsiaTheme="minorEastAsia"/>
          <w:bCs/>
          <w:color w:val="auto"/>
          <w:szCs w:val="21"/>
          <w:highlight w:val="none"/>
          <w:lang w:val="zh-CN"/>
        </w:rPr>
        <w:t xml:space="preserve">、合同授予标准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、中标通知书</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.1确定出中标人后，采购代理机构将</w:t>
      </w:r>
      <w:r>
        <w:rPr>
          <w:rFonts w:hint="eastAsia" w:asciiTheme="minorEastAsia" w:hAnsiTheme="minorEastAsia" w:eastAsiaTheme="minorEastAsia"/>
          <w:bCs/>
          <w:color w:val="auto"/>
          <w:szCs w:val="21"/>
          <w:highlight w:val="none"/>
        </w:rPr>
        <w:t xml:space="preserve">在规定时间内</w:t>
      </w:r>
      <w:r>
        <w:rPr>
          <w:rFonts w:asciiTheme="minorEastAsia" w:hAnsiTheme="minorEastAsia" w:eastAsiaTheme="minorEastAsia"/>
          <w:bCs/>
          <w:color w:val="auto"/>
          <w:szCs w:val="21"/>
          <w:highlight w:val="none"/>
          <w:lang w:val="zh-CN"/>
        </w:rPr>
        <w:t xml:space="preserve">以书面形式通知中标人其投标被接受。在中标通知书中明确中标人的</w:t>
      </w:r>
      <w:r>
        <w:rPr>
          <w:rFonts w:hint="eastAsia" w:asciiTheme="minorEastAsia" w:hAnsiTheme="minorEastAsia" w:eastAsiaTheme="minorEastAsia"/>
          <w:bCs/>
          <w:color w:val="auto"/>
          <w:szCs w:val="21"/>
          <w:highlight w:val="none"/>
        </w:rPr>
        <w:t xml:space="preserve">服务内容及标准</w:t>
      </w:r>
      <w:r>
        <w:rPr>
          <w:rFonts w:asciiTheme="minorEastAsia" w:hAnsiTheme="minorEastAsia" w:eastAsiaTheme="minorEastAsia"/>
          <w:bCs/>
          <w:color w:val="auto"/>
          <w:szCs w:val="21"/>
          <w:highlight w:val="none"/>
          <w:lang w:val="zh-CN"/>
        </w:rPr>
        <w:t xml:space="preserve">和有关合同签订的日期和地点。</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.2中标通知书将成为合同的组成部分。</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.3采购代理机构对未中标人不承担解释未中标原因的义务。</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lang w:val="zh-CN"/>
        </w:rPr>
        <w:t xml:space="preserve">、合同的签订</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.3中标人无正当理由不得放弃中标</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2.4</w:t>
      </w:r>
      <w:r>
        <w:rPr>
          <w:rFonts w:hint="eastAsia" w:asciiTheme="minorEastAsia" w:hAnsiTheme="minorEastAsia" w:eastAsiaTheme="minorEastAsia"/>
          <w:bCs/>
          <w:color w:val="auto"/>
          <w:szCs w:val="21"/>
          <w:highlight w:val="none"/>
          <w:lang w:val="zh-CN"/>
        </w:rPr>
        <w:t xml:space="preserve">在中标合同履行中，如因政策、不可抗力等原因有中标服务项目被取消，则视为自动取消，采购人一般不予调整合同；如确有需要进行调整，采购人有权在协审委托合同中调整，中标人应按要求完成服务工作。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八、其他事项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lang w:val="zh-CN"/>
        </w:rPr>
        <w:t xml:space="preserve">、中标服务费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.1中标人应按前附表规定缴纳中标服务费。</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、监督和公证</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.1政府有关监督部门将对招投标全过程进行监督。</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.2采购代理机构的</w:t>
      </w:r>
      <w:r>
        <w:rPr>
          <w:rFonts w:hint="eastAsia" w:asciiTheme="minorEastAsia" w:hAnsiTheme="minorEastAsia" w:eastAsiaTheme="minorEastAsia"/>
          <w:bCs/>
          <w:color w:val="auto"/>
          <w:szCs w:val="21"/>
          <w:highlight w:val="none"/>
        </w:rPr>
        <w:t xml:space="preserve">开标评标</w:t>
      </w:r>
      <w:r>
        <w:rPr>
          <w:rFonts w:asciiTheme="minorEastAsia" w:hAnsiTheme="minorEastAsia" w:eastAsiaTheme="minorEastAsia"/>
          <w:bCs/>
          <w:color w:val="auto"/>
          <w:szCs w:val="21"/>
          <w:highlight w:val="none"/>
          <w:lang w:val="zh-CN"/>
        </w:rPr>
        <w:t xml:space="preserve">过程将</w:t>
      </w:r>
      <w:r>
        <w:rPr>
          <w:rFonts w:hint="eastAsia" w:asciiTheme="minorEastAsia" w:hAnsiTheme="minorEastAsia" w:eastAsiaTheme="minorEastAsia"/>
          <w:bCs/>
          <w:color w:val="auto"/>
          <w:szCs w:val="21"/>
          <w:highlight w:val="none"/>
        </w:rPr>
        <w:t xml:space="preserve">请</w:t>
      </w:r>
      <w:r>
        <w:rPr>
          <w:rFonts w:asciiTheme="minorEastAsia" w:hAnsiTheme="minorEastAsia" w:eastAsiaTheme="minorEastAsia"/>
          <w:bCs/>
          <w:color w:val="auto"/>
          <w:szCs w:val="21"/>
          <w:highlight w:val="none"/>
          <w:lang w:val="zh-CN"/>
        </w:rPr>
        <w:t xml:space="preserve">公证机关进行公证。</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、未尽事宜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ind w:left="420" w:firstLine="210"/>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jc w:val="center"/>
        <w:widowControl/>
        <w:rPr>
          <w:rFonts w:ascii="宋体" w:hAnsi="宋体"/>
          <w:b/>
          <w:color w:val="auto"/>
          <w:sz w:val="36"/>
          <w:szCs w:val="36"/>
          <w:highlight w:val="none"/>
        </w:rPr>
      </w:pPr>
      <w:r/>
      <w:bookmarkStart w:id="10" w:name="_Toc13642114"/>
      <w:r/>
      <w:bookmarkStart w:id="11" w:name="_Toc142194265"/>
      <w:r/>
      <w:bookmarkStart w:id="12" w:name="OLE_LINK1"/>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pStyle w:val="736"/>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736"/>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736"/>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736"/>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736"/>
        <w:rPr>
          <w:color w:val="auto"/>
          <w:highlight w:val="none"/>
        </w:rPr>
      </w:pPr>
      <w:r>
        <w:rPr>
          <w:color w:val="auto"/>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bookmarkEnd w:id="10"/>
      <w:r/>
      <w:bookmarkEnd w:id="11"/>
      <w:r/>
      <w:r/>
    </w:p>
    <w:p>
      <w:pPr>
        <w:jc w:val="left"/>
        <w:spacing w:line="360" w:lineRule="auto"/>
        <w:widowControl/>
        <w:rPr>
          <w:rFonts w:ascii="宋体" w:hAnsi="宋体"/>
          <w:b/>
          <w:color w:val="auto"/>
          <w:sz w:val="24"/>
          <w:szCs w:val="20"/>
          <w:highlight w:val="none"/>
        </w:rPr>
      </w:pPr>
      <w:r>
        <w:rPr>
          <w:rFonts w:ascii="宋体" w:hAnsi="宋体"/>
          <w:b/>
          <w:color w:val="auto"/>
          <w:sz w:val="24"/>
          <w:szCs w:val="20"/>
          <w:highlight w:val="none"/>
        </w:rPr>
      </w:r>
      <w:r/>
    </w:p>
    <w:p>
      <w:pPr>
        <w:jc w:val="left"/>
        <w:spacing w:line="360" w:lineRule="auto"/>
        <w:widowControl/>
        <w:rPr>
          <w:rFonts w:ascii="宋体" w:hAnsi="宋体"/>
          <w:b/>
          <w:color w:val="auto"/>
          <w:szCs w:val="21"/>
          <w:highlight w:val="none"/>
        </w:rPr>
      </w:pPr>
      <w:r>
        <w:rPr>
          <w:rFonts w:ascii="宋体" w:hAnsi="宋体"/>
          <w:b/>
          <w:color w:val="auto"/>
          <w:szCs w:val="21"/>
          <w:highlight w:val="none"/>
        </w:rPr>
        <w:t xml:space="preserve">说明：</w:t>
      </w:r>
      <w:r/>
    </w:p>
    <w:p>
      <w:pPr>
        <w:jc w:val="left"/>
        <w:spacing w:line="360" w:lineRule="auto"/>
        <w:widowControl/>
        <w:rPr>
          <w:rFonts w:ascii="宋体" w:hAnsi="宋体"/>
          <w:b/>
          <w:color w:val="auto"/>
          <w:szCs w:val="21"/>
          <w:highlight w:val="none"/>
        </w:rPr>
      </w:pPr>
      <w:r>
        <w:rPr>
          <w:rFonts w:ascii="宋体" w:hAnsi="宋体"/>
          <w:b/>
          <w:color w:val="auto"/>
          <w:szCs w:val="21"/>
          <w:highlight w:val="none"/>
        </w:rPr>
        <w:t xml:space="preserve">    对本章所有的投标书格式，投标</w:t>
      </w:r>
      <w:r>
        <w:rPr>
          <w:rFonts w:hint="eastAsia" w:ascii="宋体" w:hAnsi="宋体"/>
          <w:b/>
          <w:color w:val="auto"/>
          <w:szCs w:val="21"/>
          <w:highlight w:val="none"/>
        </w:rPr>
        <w:t xml:space="preserve">人</w:t>
      </w:r>
      <w:r>
        <w:rPr>
          <w:rFonts w:ascii="宋体" w:hAnsi="宋体"/>
          <w:b/>
          <w:color w:val="auto"/>
          <w:szCs w:val="21"/>
          <w:highlight w:val="none"/>
        </w:rPr>
        <w:t xml:space="preserve">可根据自身情况进行补充和修改，但补充和修改不得造成与本格式内容有实质性的违背。</w:t>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spacing w:line="400" w:lineRule="exact"/>
        <w:widowControl/>
        <w:rPr>
          <w:rFonts w:ascii="宋体" w:hAnsi="宋体"/>
          <w:color w:val="auto"/>
          <w:szCs w:val="21"/>
          <w:highlight w:val="none"/>
        </w:rPr>
      </w:pPr>
      <w:r/>
      <w:bookmarkStart w:id="13" w:name="_Toc142194266"/>
      <w:r>
        <w:rPr>
          <w:rFonts w:ascii="宋体" w:hAnsi="宋体"/>
          <w:color w:val="auto"/>
          <w:szCs w:val="21"/>
          <w:highlight w:val="none"/>
        </w:rPr>
        <w:br w:type="page" w:clear="all"/>
      </w:r>
      <w:r>
        <w:rPr>
          <w:rFonts w:hint="eastAsia" w:ascii="宋体" w:hAnsi="宋体"/>
          <w:color w:val="auto"/>
          <w:szCs w:val="21"/>
          <w:highlight w:val="none"/>
        </w:rPr>
        <w:t xml:space="preserve">格式1</w:t>
      </w:r>
      <w:r>
        <w:rPr>
          <w:rFonts w:ascii="宋体" w:hAnsi="宋体"/>
          <w:color w:val="auto"/>
          <w:szCs w:val="21"/>
          <w:highlight w:val="none"/>
        </w:rPr>
        <w:t xml:space="preserve">、投标函</w:t>
      </w:r>
      <w:bookmarkEnd w:id="13"/>
      <w:r/>
      <w:r/>
    </w:p>
    <w:p>
      <w:pPr>
        <w:jc w:val="center"/>
        <w:spacing w:line="400" w:lineRule="exact"/>
        <w:widowControl/>
        <w:rPr>
          <w:rFonts w:ascii="宋体" w:hAnsi="宋体"/>
          <w:b/>
          <w:color w:val="auto"/>
          <w:sz w:val="32"/>
          <w:szCs w:val="32"/>
          <w:highlight w:val="none"/>
        </w:rPr>
      </w:pPr>
      <w:r>
        <w:rPr>
          <w:rFonts w:hint="eastAsia" w:ascii="宋体" w:hAnsi="宋体"/>
          <w:b/>
          <w:color w:val="auto"/>
          <w:sz w:val="32"/>
          <w:szCs w:val="32"/>
          <w:highlight w:val="none"/>
        </w:rPr>
        <w:t xml:space="preserve">投标函</w:t>
      </w:r>
      <w:r/>
    </w:p>
    <w:p>
      <w:pPr>
        <w:ind w:firstLine="420"/>
        <w:jc w:val="left"/>
        <w:spacing w:line="460" w:lineRule="exact"/>
        <w:widowControl/>
        <w:rPr>
          <w:color w:val="auto"/>
          <w:szCs w:val="21"/>
          <w:highlight w:val="none"/>
        </w:rPr>
      </w:pPr>
      <w:r/>
      <w:bookmarkStart w:id="14" w:name="_Toc142194267"/>
      <w:r>
        <w:rPr>
          <w:rFonts w:hint="eastAsia"/>
          <w:color w:val="auto"/>
          <w:szCs w:val="21"/>
          <w:highlight w:val="none"/>
        </w:rPr>
        <w:t xml:space="preserve">我方收到贵公司</w:t>
      </w:r>
      <w:r>
        <w:rPr>
          <w:rFonts w:hint="eastAsia"/>
          <w:color w:val="auto"/>
          <w:szCs w:val="21"/>
          <w:highlight w:val="none"/>
          <w:u w:val="single"/>
        </w:rPr>
        <w:t xml:space="preserve">                            </w:t>
      </w:r>
      <w:r>
        <w:rPr>
          <w:rFonts w:hint="eastAsia"/>
          <w:color w:val="auto"/>
          <w:szCs w:val="21"/>
          <w:highlight w:val="none"/>
        </w:rPr>
        <w:t xml:space="preserve">号采购文件，经仔细阅读和研究，我方决定参加投标。并向贵公司承诺：</w:t>
      </w:r>
      <w:r/>
    </w:p>
    <w:p>
      <w:pPr>
        <w:ind w:firstLine="420"/>
        <w:jc w:val="left"/>
        <w:spacing w:line="460" w:lineRule="exact"/>
        <w:widowControl/>
        <w:rPr>
          <w:color w:val="auto"/>
          <w:szCs w:val="21"/>
          <w:highlight w:val="none"/>
        </w:rPr>
      </w:pPr>
      <w:r>
        <w:rPr>
          <w:rFonts w:hint="eastAsia"/>
          <w:color w:val="auto"/>
          <w:szCs w:val="21"/>
          <w:highlight w:val="none"/>
        </w:rPr>
        <w:t xml:space="preserve">1、我方愿意按照采购文件的一切要求，提供以上项目的所有内容。</w:t>
      </w:r>
      <w:r/>
    </w:p>
    <w:p>
      <w:pPr>
        <w:ind w:firstLine="420"/>
        <w:jc w:val="left"/>
        <w:spacing w:line="460" w:lineRule="exact"/>
        <w:widowControl/>
        <w:rPr>
          <w:color w:val="auto"/>
          <w:szCs w:val="21"/>
          <w:highlight w:val="none"/>
        </w:rPr>
      </w:pPr>
      <w:r>
        <w:rPr>
          <w:rFonts w:hint="eastAsia"/>
          <w:color w:val="auto"/>
          <w:szCs w:val="21"/>
          <w:highlight w:val="none"/>
        </w:rPr>
        <w:t xml:space="preserve">2、如果我方的投标书被接受，我方将严格履行采购文件中规定的每一项要求，严格履行合同的责任和义务，保证按期、按质履行合同，完成合同内容所规定的全部工作。</w:t>
      </w:r>
      <w:r/>
    </w:p>
    <w:p>
      <w:pPr>
        <w:ind w:firstLine="420"/>
        <w:jc w:val="left"/>
        <w:spacing w:line="460" w:lineRule="exact"/>
        <w:widowControl/>
        <w:rPr>
          <w:color w:val="auto"/>
          <w:szCs w:val="21"/>
          <w:highlight w:val="none"/>
        </w:rPr>
      </w:pPr>
      <w:r>
        <w:rPr>
          <w:rFonts w:hint="eastAsia"/>
          <w:color w:val="auto"/>
          <w:szCs w:val="21"/>
          <w:highlight w:val="none"/>
        </w:rPr>
        <w:t xml:space="preserve">3、我方同意按采购文件中的规定，本投标书的有效期限为开标后90天。</w:t>
      </w:r>
      <w:r/>
    </w:p>
    <w:p>
      <w:pPr>
        <w:ind w:firstLine="420"/>
        <w:jc w:val="left"/>
        <w:spacing w:line="460" w:lineRule="exact"/>
        <w:widowControl/>
        <w:rPr>
          <w:color w:val="auto"/>
          <w:szCs w:val="21"/>
          <w:highlight w:val="none"/>
        </w:rPr>
      </w:pPr>
      <w:r>
        <w:rPr>
          <w:rFonts w:hint="eastAsia"/>
          <w:color w:val="auto"/>
          <w:szCs w:val="21"/>
          <w:highlight w:val="none"/>
        </w:rPr>
        <w:t xml:space="preserve">4、我方愿意提供采购方在采购文件中要求的所有资料。也同意向贵方提供贵方可能另外要求的与我方投标有关的任何证据或资料。并保证所提供的资料全部是真实的、有效的，若有虚假，我方愿承担一切责任。</w:t>
      </w:r>
      <w:r/>
    </w:p>
    <w:p>
      <w:pPr>
        <w:ind w:firstLine="420"/>
        <w:jc w:val="left"/>
        <w:spacing w:line="460" w:lineRule="exact"/>
        <w:widowControl/>
        <w:rPr>
          <w:color w:val="auto"/>
          <w:szCs w:val="21"/>
          <w:highlight w:val="none"/>
        </w:rPr>
      </w:pPr>
      <w:r>
        <w:rPr>
          <w:rFonts w:hint="eastAsia"/>
          <w:color w:val="auto"/>
          <w:szCs w:val="21"/>
          <w:highlight w:val="none"/>
        </w:rPr>
        <w:t xml:space="preserve">5、我方认为贵方有权根据评标委员会的评审结果决定中标者，还认为贵方有权根据评标委员会的评审结果接受或拒绝所有的投标者。</w:t>
      </w:r>
      <w:r/>
    </w:p>
    <w:p>
      <w:pPr>
        <w:ind w:firstLine="420"/>
        <w:jc w:val="left"/>
        <w:spacing w:line="460" w:lineRule="exact"/>
        <w:widowControl/>
        <w:rPr>
          <w:color w:val="auto"/>
          <w:szCs w:val="21"/>
          <w:highlight w:val="none"/>
        </w:rPr>
      </w:pPr>
      <w:r>
        <w:rPr>
          <w:rFonts w:hint="eastAsia"/>
          <w:color w:val="auto"/>
          <w:szCs w:val="21"/>
          <w:highlight w:val="none"/>
        </w:rPr>
        <w:t xml:space="preserve">6、我方愿意遵守招标公告及采购文件中所列的收费标准。</w:t>
      </w:r>
      <w:r/>
    </w:p>
    <w:p>
      <w:pPr>
        <w:ind w:firstLine="420"/>
        <w:jc w:val="left"/>
        <w:spacing w:line="460" w:lineRule="exact"/>
        <w:widowControl/>
        <w:rPr>
          <w:color w:val="auto"/>
          <w:szCs w:val="21"/>
          <w:highlight w:val="none"/>
        </w:rPr>
      </w:pPr>
      <w:r>
        <w:rPr>
          <w:rFonts w:hint="eastAsia"/>
          <w:color w:val="auto"/>
          <w:szCs w:val="21"/>
          <w:highlight w:val="none"/>
        </w:rPr>
        <w:t xml:space="preserve">7、我方承诺该项投标在开标后的全过程中保持有效，不作任何更改和变动。我方同意中标后若不履行投标文件的内容要求和各项承诺及义务的即被视为违约，我方的中标资格将被取消。</w:t>
      </w:r>
      <w:r/>
    </w:p>
    <w:p>
      <w:pPr>
        <w:ind w:firstLine="420"/>
        <w:jc w:val="left"/>
        <w:spacing w:line="460" w:lineRule="exact"/>
        <w:widowControl/>
        <w:rPr>
          <w:color w:val="auto"/>
          <w:szCs w:val="21"/>
          <w:highlight w:val="none"/>
        </w:rPr>
      </w:pPr>
      <w:r>
        <w:rPr>
          <w:rFonts w:hint="eastAsia"/>
          <w:color w:val="auto"/>
          <w:szCs w:val="21"/>
          <w:highlight w:val="none"/>
        </w:rPr>
        <w:t xml:space="preserve">8、我方同意中标方若无法按约定条款履行义务等行为，招标方有权取消我方的中标资格。</w:t>
      </w:r>
      <w:r/>
    </w:p>
    <w:p>
      <w:pPr>
        <w:ind w:firstLine="420"/>
        <w:jc w:val="left"/>
        <w:spacing w:line="460" w:lineRule="exact"/>
        <w:widowControl/>
        <w:rPr>
          <w:color w:val="auto"/>
          <w:szCs w:val="21"/>
          <w:highlight w:val="none"/>
        </w:rPr>
      </w:pPr>
      <w:r>
        <w:rPr>
          <w:rFonts w:hint="eastAsia"/>
          <w:color w:val="auto"/>
          <w:szCs w:val="21"/>
          <w:highlight w:val="none"/>
        </w:rPr>
        <w:t xml:space="preserve">9、如果我方中标，我方愿意按采购文件规定支付中标服务费。</w:t>
      </w:r>
      <w:r/>
    </w:p>
    <w:p>
      <w:pPr>
        <w:ind w:firstLine="420"/>
        <w:spacing w:line="460" w:lineRule="exact"/>
        <w:rPr>
          <w:color w:val="auto"/>
          <w:szCs w:val="21"/>
          <w:highlight w:val="none"/>
        </w:rPr>
      </w:pPr>
      <w:r>
        <w:rPr>
          <w:color w:val="auto"/>
          <w:szCs w:val="21"/>
          <w:highlight w:val="none"/>
        </w:rPr>
        <w:t xml:space="preserve">与本投标有关的通讯地址：</w:t>
      </w:r>
      <w:r/>
    </w:p>
    <w:p>
      <w:pPr>
        <w:ind w:firstLine="420"/>
        <w:spacing w:line="340" w:lineRule="exact"/>
        <w:rPr>
          <w:rFonts w:ascii="宋体" w:hAnsi="宋体"/>
          <w:color w:val="auto"/>
          <w:szCs w:val="21"/>
          <w:highlight w:val="none"/>
        </w:rPr>
      </w:pPr>
      <w:r>
        <w:rPr>
          <w:rFonts w:ascii="宋体" w:hAnsi="宋体"/>
          <w:color w:val="auto"/>
          <w:szCs w:val="21"/>
          <w:highlight w:val="none"/>
        </w:rPr>
        <w:t xml:space="preserve">单    位：</w:t>
      </w:r>
      <w:r>
        <w:rPr>
          <w:rFonts w:ascii="宋体" w:hAnsi="宋体"/>
          <w:color w:val="auto"/>
          <w:szCs w:val="21"/>
          <w:highlight w:val="none"/>
          <w:u w:val="single"/>
        </w:rPr>
        <w:t xml:space="preserve">                                 </w:t>
      </w:r>
      <w:r>
        <w:rPr>
          <w:rFonts w:ascii="宋体" w:hAnsi="宋体"/>
          <w:color w:val="auto"/>
          <w:szCs w:val="21"/>
          <w:highlight w:val="none"/>
        </w:rPr>
        <w:t xml:space="preserve">联 系 人：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340" w:lineRule="exact"/>
        <w:rPr>
          <w:rFonts w:ascii="宋体" w:hAnsi="宋体"/>
          <w:color w:val="auto"/>
          <w:szCs w:val="21"/>
          <w:highlight w:val="none"/>
          <w:u w:val="single"/>
        </w:rPr>
      </w:pPr>
      <w:r>
        <w:rPr>
          <w:rFonts w:ascii="宋体" w:hAnsi="宋体"/>
          <w:color w:val="auto"/>
          <w:szCs w:val="21"/>
          <w:highlight w:val="none"/>
        </w:rPr>
        <w:t xml:space="preserve">地    址：</w:t>
      </w:r>
      <w:r>
        <w:rPr>
          <w:rFonts w:ascii="宋体" w:hAnsi="宋体"/>
          <w:color w:val="auto"/>
          <w:szCs w:val="21"/>
          <w:highlight w:val="none"/>
          <w:u w:val="single"/>
        </w:rPr>
        <w:t xml:space="preserve">                                </w:t>
      </w:r>
      <w:r>
        <w:rPr>
          <w:rFonts w:ascii="宋体" w:hAnsi="宋体"/>
          <w:color w:val="auto"/>
          <w:szCs w:val="21"/>
          <w:highlight w:val="none"/>
        </w:rPr>
        <w:t xml:space="preserve"> 邮政编码：</w:t>
      </w:r>
      <w:r>
        <w:rPr>
          <w:rFonts w:ascii="宋体" w:hAnsi="宋体"/>
          <w:color w:val="auto"/>
          <w:szCs w:val="21"/>
          <w:highlight w:val="none"/>
          <w:u w:val="single"/>
        </w:rPr>
        <w:t xml:space="preserve">                   </w:t>
      </w:r>
      <w:r/>
    </w:p>
    <w:p>
      <w:pPr>
        <w:ind w:firstLine="420"/>
        <w:spacing w:line="340" w:lineRule="exact"/>
        <w:rPr>
          <w:rFonts w:ascii="宋体" w:hAnsi="宋体"/>
          <w:color w:val="auto"/>
          <w:szCs w:val="21"/>
          <w:highlight w:val="none"/>
          <w:u w:val="single"/>
        </w:rPr>
      </w:pPr>
      <w:r>
        <w:rPr>
          <w:rFonts w:ascii="宋体" w:hAnsi="宋体"/>
          <w:color w:val="auto"/>
          <w:szCs w:val="21"/>
          <w:highlight w:val="none"/>
        </w:rPr>
        <w:t xml:space="preserve">联系电话：</w:t>
      </w:r>
      <w:r>
        <w:rPr>
          <w:rFonts w:ascii="宋体" w:hAnsi="宋体"/>
          <w:color w:val="auto"/>
          <w:szCs w:val="21"/>
          <w:highlight w:val="none"/>
          <w:u w:val="single"/>
        </w:rPr>
        <w:t xml:space="preserve">                                </w:t>
      </w:r>
      <w:r>
        <w:rPr>
          <w:rFonts w:ascii="宋体" w:hAnsi="宋体"/>
          <w:color w:val="auto"/>
          <w:szCs w:val="21"/>
          <w:highlight w:val="none"/>
        </w:rPr>
        <w:t xml:space="preserve"> 传    真：</w:t>
      </w:r>
      <w:r>
        <w:rPr>
          <w:rFonts w:ascii="宋体" w:hAnsi="宋体"/>
          <w:color w:val="auto"/>
          <w:szCs w:val="21"/>
          <w:highlight w:val="none"/>
          <w:u w:val="single"/>
        </w:rPr>
        <w:t xml:space="preserve">                   </w:t>
      </w:r>
      <w:r/>
    </w:p>
    <w:p>
      <w:pPr>
        <w:jc w:val="left"/>
        <w:spacing w:line="340" w:lineRule="exact"/>
        <w:widowControl/>
        <w:rPr>
          <w:rFonts w:ascii="宋体" w:hAnsi="宋体"/>
          <w:color w:val="auto"/>
          <w:szCs w:val="21"/>
          <w:highlight w:val="none"/>
        </w:rPr>
      </w:pPr>
      <w:r>
        <w:rPr>
          <w:rFonts w:ascii="宋体" w:hAnsi="宋体"/>
          <w:b/>
          <w:color w:val="auto"/>
          <w:szCs w:val="21"/>
          <w:highlight w:val="none"/>
        </w:rPr>
        <w:t xml:space="preserve">   </w:t>
      </w:r>
      <w:r>
        <w:rPr>
          <w:rFonts w:ascii="宋体" w:hAnsi="宋体"/>
          <w:color w:val="auto"/>
          <w:szCs w:val="21"/>
          <w:highlight w:val="none"/>
        </w:rPr>
        <w:t xml:space="preserve"> 开户银行：</w:t>
      </w:r>
      <w:r>
        <w:rPr>
          <w:rFonts w:ascii="宋体" w:hAnsi="宋体"/>
          <w:color w:val="auto"/>
          <w:szCs w:val="21"/>
          <w:highlight w:val="none"/>
          <w:u w:val="single"/>
        </w:rPr>
        <w:t xml:space="preserve">                                </w:t>
      </w:r>
      <w:r>
        <w:rPr>
          <w:rFonts w:ascii="宋体" w:hAnsi="宋体"/>
          <w:color w:val="auto"/>
          <w:szCs w:val="21"/>
          <w:highlight w:val="none"/>
        </w:rPr>
        <w:t xml:space="preserve"> 银行账号：</w:t>
      </w:r>
      <w:r>
        <w:rPr>
          <w:rFonts w:ascii="宋体" w:hAnsi="宋体"/>
          <w:color w:val="auto"/>
          <w:szCs w:val="21"/>
          <w:highlight w:val="none"/>
          <w:u w:val="single"/>
        </w:rPr>
        <w:t xml:space="preserve">                   </w:t>
      </w:r>
      <w:r/>
    </w:p>
    <w:p>
      <w:pPr>
        <w:ind w:firstLine="425"/>
        <w:spacing w:line="340" w:lineRule="exact"/>
        <w:rPr>
          <w:rFonts w:ascii="宋体" w:hAnsi="宋体"/>
          <w:color w:val="auto"/>
          <w:szCs w:val="21"/>
          <w:highlight w:val="none"/>
        </w:rPr>
      </w:pPr>
      <w:r>
        <w:rPr>
          <w:rFonts w:ascii="宋体" w:hAnsi="宋体"/>
          <w:color w:val="auto"/>
          <w:szCs w:val="21"/>
          <w:highlight w:val="none"/>
        </w:rPr>
        <w:t xml:space="preserve">投标人：（公章）</w:t>
      </w:r>
      <w:r/>
    </w:p>
    <w:p>
      <w:pPr>
        <w:ind w:firstLine="420"/>
        <w:jc w:val="left"/>
        <w:spacing w:line="340" w:lineRule="exact"/>
        <w:widowControl/>
        <w:rPr>
          <w:rFonts w:ascii="宋体" w:hAnsi="宋体"/>
          <w:color w:val="auto"/>
          <w:szCs w:val="21"/>
          <w:highlight w:val="none"/>
        </w:rPr>
      </w:pPr>
      <w:r>
        <w:rPr>
          <w:rFonts w:ascii="宋体" w:hAnsi="宋体"/>
          <w:color w:val="auto"/>
          <w:szCs w:val="21"/>
          <w:highlight w:val="none"/>
        </w:rPr>
        <w:t xml:space="preserve">法定代表人或代理人：（签字或签章）               年     月     日</w:t>
      </w:r>
      <w:r/>
    </w:p>
    <w:p>
      <w:pPr>
        <w:pStyle w:val="736"/>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736"/>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b/>
          <w:color w:val="auto"/>
          <w:szCs w:val="21"/>
          <w:highlight w:val="none"/>
        </w:rPr>
      </w:pPr>
      <w:r>
        <w:rPr>
          <w:rFonts w:hint="eastAsia" w:ascii="宋体" w:hAnsi="宋体"/>
          <w:color w:val="auto"/>
          <w:szCs w:val="21"/>
          <w:highlight w:val="none"/>
        </w:rPr>
        <w:t xml:space="preserve">格式2、</w:t>
      </w:r>
      <w:bookmarkEnd w:id="14"/>
      <w:r>
        <w:rPr>
          <w:rFonts w:hint="eastAsia" w:ascii="宋体" w:hAnsi="宋体"/>
          <w:b/>
          <w:color w:val="auto"/>
          <w:szCs w:val="21"/>
          <w:highlight w:val="none"/>
          <w:lang w:val="zh-CN"/>
        </w:rPr>
        <w:t xml:space="preserve">法定代表人(负责人)授权委托书</w:t>
      </w:r>
      <w:r/>
    </w:p>
    <w:p>
      <w:pPr>
        <w:ind w:firstLine="2530"/>
        <w:rPr>
          <w:rFonts w:ascii="宋体" w:hAnsi="宋体"/>
          <w:b/>
          <w:color w:val="auto"/>
          <w:szCs w:val="21"/>
          <w:highlight w:val="none"/>
        </w:rPr>
      </w:pPr>
      <w:r>
        <w:rPr>
          <w:rFonts w:ascii="宋体" w:hAnsi="宋体"/>
          <w:b/>
          <w:color w:val="auto"/>
          <w:szCs w:val="21"/>
          <w:highlight w:val="none"/>
        </w:rPr>
      </w:r>
      <w:r/>
    </w:p>
    <w:p>
      <w:pPr>
        <w:ind w:firstLine="2530"/>
        <w:rPr>
          <w:rFonts w:ascii="宋体" w:hAnsi="宋体"/>
          <w:b/>
          <w:color w:val="auto"/>
          <w:szCs w:val="21"/>
          <w:highlight w:val="none"/>
        </w:rPr>
      </w:pPr>
      <w:r>
        <w:rPr>
          <w:rFonts w:ascii="宋体" w:hAnsi="宋体"/>
          <w:b/>
          <w:color w:val="auto"/>
          <w:szCs w:val="21"/>
          <w:highlight w:val="none"/>
        </w:rPr>
      </w:r>
      <w:r/>
    </w:p>
    <w:p>
      <w:pPr>
        <w:ind w:firstLine="2530"/>
        <w:rPr>
          <w:rFonts w:ascii="宋体" w:hAnsi="宋体"/>
          <w:b/>
          <w:color w:val="auto"/>
          <w:szCs w:val="21"/>
          <w:highlight w:val="none"/>
        </w:rPr>
      </w:pPr>
      <w:r>
        <w:rPr>
          <w:rFonts w:ascii="宋体" w:hAnsi="宋体"/>
          <w:b/>
          <w:color w:val="auto"/>
          <w:szCs w:val="21"/>
          <w:highlight w:val="none"/>
        </w:rPr>
      </w:r>
      <w:r/>
    </w:p>
    <w:p>
      <w:pPr>
        <w:ind w:firstLine="2530"/>
        <w:rPr>
          <w:rFonts w:ascii="宋体" w:hAnsi="宋体"/>
          <w:b/>
          <w:color w:val="auto"/>
          <w:szCs w:val="21"/>
          <w:highlight w:val="none"/>
        </w:rPr>
      </w:pPr>
      <w:r>
        <w:rPr>
          <w:rFonts w:hint="eastAsia" w:ascii="宋体" w:hAnsi="宋体"/>
          <w:b/>
          <w:color w:val="auto"/>
          <w:szCs w:val="21"/>
          <w:highlight w:val="none"/>
        </w:rPr>
        <w:t xml:space="preserve">法定代表人(负责人)授权委托书</w:t>
      </w:r>
      <w:r/>
    </w:p>
    <w:p>
      <w:pPr>
        <w:jc w:val="left"/>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（投标人名称）的法定代表人(负责人)（负责人），现授权委托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（姓名）为我公司授权代表（即代理人），以本公司的名义参加</w:t>
      </w:r>
      <w:r>
        <w:rPr>
          <w:rFonts w:hint="eastAsia" w:ascii="宋体" w:hAnsi="宋体"/>
          <w:color w:val="auto"/>
          <w:szCs w:val="21"/>
          <w:highlight w:val="none"/>
          <w:u w:val="single"/>
        </w:rPr>
        <w:t xml:space="preserve">                      </w:t>
      </w:r>
      <w:r>
        <w:rPr>
          <w:rFonts w:hint="eastAsia" w:ascii="宋体" w:hAnsi="宋体"/>
          <w:i/>
          <w:color w:val="auto"/>
          <w:szCs w:val="21"/>
          <w:highlight w:val="none"/>
          <w:u w:val="single"/>
        </w:rPr>
        <w:t xml:space="preserve"> </w:t>
      </w:r>
      <w:r>
        <w:rPr>
          <w:rFonts w:hint="eastAsia" w:ascii="宋体" w:hAnsi="宋体"/>
          <w:color w:val="auto"/>
          <w:szCs w:val="21"/>
          <w:highlight w:val="none"/>
        </w:rPr>
        <w:t xml:space="preserve">组织实施的编号为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投标人名称：</w:t>
      </w:r>
      <w:r>
        <w:rPr>
          <w:rFonts w:hint="eastAsia" w:ascii="宋体" w:hAnsi="宋体"/>
          <w:color w:val="auto"/>
          <w:szCs w:val="21"/>
          <w:highlight w:val="none"/>
        </w:rPr>
        <w:t xml:space="preserve">（盖章）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法定代表人(负责人)：（签字或盖章）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代理人：（签字或盖章）</w:t>
      </w:r>
      <w:r/>
    </w:p>
    <w:p>
      <w:pPr>
        <w:ind w:firstLine="420"/>
        <w:jc w:val="right"/>
        <w:rPr>
          <w:rFonts w:ascii="宋体" w:hAnsi="宋体"/>
          <w:color w:val="auto"/>
          <w:szCs w:val="21"/>
          <w:highlight w:val="none"/>
        </w:rPr>
      </w:pPr>
      <w:r>
        <w:rPr>
          <w:rFonts w:ascii="宋体" w:hAnsi="宋体"/>
          <w:color w:val="auto"/>
          <w:szCs w:val="21"/>
          <w:highlight w:val="none"/>
        </w:rPr>
      </w:r>
      <w:r/>
    </w:p>
    <w:p>
      <w:pPr>
        <w:ind w:firstLine="420"/>
        <w:jc w:val="right"/>
        <w:rPr>
          <w:rFonts w:ascii="宋体" w:hAnsi="宋体"/>
          <w:color w:val="auto"/>
          <w:szCs w:val="21"/>
          <w:highlight w:val="none"/>
        </w:rPr>
      </w:pPr>
      <w:r>
        <w:rPr>
          <w:rFonts w:ascii="宋体" w:hAnsi="宋体"/>
          <w:color w:val="auto"/>
          <w:szCs w:val="21"/>
          <w:highlight w:val="none"/>
        </w:rPr>
      </w:r>
      <w:r/>
    </w:p>
    <w:p>
      <w:pPr>
        <w:ind w:firstLine="420"/>
        <w:jc w:val="right"/>
        <w:rPr>
          <w:rFonts w:ascii="宋体" w:hAnsi="宋体"/>
          <w:color w:val="auto"/>
          <w:szCs w:val="21"/>
          <w:highlight w:val="none"/>
        </w:rPr>
      </w:pPr>
      <w:r>
        <w:rPr>
          <w:rFonts w:ascii="宋体" w:hAnsi="宋体"/>
          <w:color w:val="auto"/>
          <w:szCs w:val="21"/>
          <w:highlight w:val="none"/>
        </w:rPr>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                                         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hAnsi="宋体"/>
          <w:color w:val="auto"/>
          <w:szCs w:val="21"/>
          <w:highlight w:val="none"/>
        </w:rPr>
      </w:pPr>
      <w:r>
        <w:rPr>
          <w:rFonts w:hAnsi="宋体"/>
          <w:color w:val="auto"/>
          <w:szCs w:val="21"/>
          <w:highlight w:val="none"/>
        </w:rPr>
      </w:r>
      <w:r/>
    </w:p>
    <w:p>
      <w:pPr>
        <w:jc w:val="left"/>
        <w:spacing w:line="400" w:lineRule="exact"/>
        <w:widowControl/>
        <w:rPr>
          <w:rFonts w:hAnsi="宋体"/>
          <w:color w:val="auto"/>
          <w:szCs w:val="21"/>
          <w:highlight w:val="none"/>
        </w:rPr>
      </w:pPr>
      <w:r>
        <w:rPr>
          <w:rFonts w:hAnsi="宋体"/>
          <w:color w:val="auto"/>
          <w:szCs w:val="21"/>
          <w:highlight w:val="none"/>
        </w:rPr>
      </w:r>
      <w:r/>
    </w:p>
    <w:p>
      <w:pPr>
        <w:jc w:val="left"/>
        <w:spacing w:line="400" w:lineRule="exact"/>
        <w:widowControl/>
        <w:rPr>
          <w:rFonts w:hAnsi="宋体"/>
          <w:color w:val="auto"/>
          <w:szCs w:val="21"/>
          <w:highlight w:val="none"/>
        </w:rPr>
      </w:pPr>
      <w:r>
        <w:rPr>
          <w:rFonts w:hAnsi="宋体"/>
          <w:color w:val="auto"/>
          <w:szCs w:val="21"/>
          <w:highlight w:val="none"/>
        </w:rPr>
      </w:r>
      <w:r/>
    </w:p>
    <w:p>
      <w:pPr>
        <w:jc w:val="left"/>
        <w:spacing w:line="400" w:lineRule="exact"/>
        <w:widowControl/>
        <w:rPr>
          <w:rFonts w:hAnsi="宋体"/>
          <w:color w:val="auto"/>
          <w:szCs w:val="21"/>
          <w:highlight w:val="none"/>
        </w:rPr>
      </w:pPr>
      <w:r>
        <w:rPr>
          <w:rFonts w:hAnsi="宋体"/>
          <w:color w:val="auto"/>
          <w:szCs w:val="21"/>
          <w:highlight w:val="none"/>
        </w:rPr>
      </w:r>
      <w:r/>
    </w:p>
    <w:p>
      <w:pPr>
        <w:jc w:val="left"/>
        <w:spacing w:line="400" w:lineRule="exact"/>
        <w:widowControl/>
        <w:rPr>
          <w:rFonts w:hAnsi="宋体"/>
          <w:color w:val="auto"/>
          <w:szCs w:val="21"/>
          <w:highlight w:val="none"/>
        </w:rPr>
      </w:pPr>
      <w:r>
        <w:rPr>
          <w:rFonts w:hAnsi="宋体"/>
          <w:color w:val="auto"/>
          <w:szCs w:val="21"/>
          <w:highlight w:val="none"/>
        </w:rPr>
      </w:r>
      <w:r/>
    </w:p>
    <w:p>
      <w:pPr>
        <w:jc w:val="left"/>
        <w:spacing w:line="400" w:lineRule="exact"/>
        <w:widowControl/>
        <w:rPr>
          <w:rFonts w:hAnsi="宋体"/>
          <w:color w:val="auto"/>
          <w:szCs w:val="21"/>
          <w:highlight w:val="none"/>
        </w:rPr>
      </w:pPr>
      <w:r>
        <w:rPr>
          <w:rFonts w:hAnsi="宋体"/>
          <w:color w:val="auto"/>
          <w:szCs w:val="21"/>
          <w:highlight w:val="none"/>
        </w:rPr>
      </w:r>
      <w:r/>
    </w:p>
    <w:p>
      <w:pPr>
        <w:jc w:val="left"/>
        <w:spacing w:line="400" w:lineRule="exact"/>
        <w:widowControl/>
        <w:rPr>
          <w:rFonts w:hAnsi="宋体"/>
          <w:color w:val="auto"/>
          <w:szCs w:val="21"/>
          <w:highlight w:val="none"/>
        </w:rPr>
      </w:pPr>
      <w:r>
        <w:rPr>
          <w:rFonts w:hAnsi="宋体"/>
          <w:color w:val="auto"/>
          <w:szCs w:val="21"/>
          <w:highlight w:val="none"/>
        </w:rPr>
      </w:r>
      <w:r/>
    </w:p>
    <w:p>
      <w:pPr>
        <w:jc w:val="left"/>
        <w:spacing w:line="400" w:lineRule="exact"/>
        <w:widowControl/>
        <w:rPr>
          <w:rFonts w:hAnsi="宋体"/>
          <w:color w:val="auto"/>
          <w:szCs w:val="21"/>
          <w:highlight w:val="none"/>
        </w:rPr>
      </w:pPr>
      <w:r>
        <w:rPr>
          <w:rFonts w:hAnsi="宋体"/>
          <w:color w:val="auto"/>
          <w:szCs w:val="21"/>
          <w:highlight w:val="none"/>
        </w:rPr>
      </w:r>
      <w:r/>
    </w:p>
    <w:p>
      <w:pPr>
        <w:jc w:val="left"/>
        <w:spacing w:line="360" w:lineRule="auto"/>
        <w:widowControl/>
        <w:rPr>
          <w:rFonts w:hAnsi="宋体"/>
          <w:bCs/>
          <w:color w:val="auto"/>
          <w:szCs w:val="21"/>
          <w:highlight w:val="none"/>
        </w:rPr>
      </w:pPr>
      <w:r/>
      <w:bookmarkStart w:id="15" w:name="_Toc142194270"/>
      <w:r/>
      <w:bookmarkStart w:id="16" w:name="_Toc142194271"/>
      <w:r/>
      <w:bookmarkStart w:id="17" w:name="_Toc13889376"/>
      <w:r/>
      <w:bookmarkStart w:id="18" w:name="_Toc13642116"/>
      <w:r/>
      <w:r/>
    </w:p>
    <w:p>
      <w:pPr>
        <w:rPr>
          <w:rFonts w:hAnsi="宋体"/>
          <w:color w:val="auto"/>
          <w:highlight w:val="none"/>
        </w:rPr>
      </w:pPr>
      <w:r>
        <w:rPr>
          <w:rFonts w:hint="eastAsia" w:ascii="宋体" w:hAnsi="宋体" w:cs="宋体"/>
          <w:color w:val="auto"/>
          <w:szCs w:val="21"/>
          <w:highlight w:val="none"/>
        </w:rPr>
        <w:br w:type="page" w:clear="all"/>
      </w:r>
      <w:r/>
    </w:p>
    <w:p>
      <w:pPr>
        <w:jc w:val="left"/>
        <w:spacing w:line="360" w:lineRule="auto"/>
        <w:rPr>
          <w:rFonts w:ascii="宋体" w:hAnsi="宋体" w:cs="宋体"/>
          <w:color w:val="auto"/>
          <w:highlight w:val="none"/>
        </w:rPr>
      </w:pPr>
      <w:r>
        <w:rPr>
          <w:rFonts w:hint="eastAsia" w:hAnsi="宋体"/>
          <w:bCs/>
          <w:color w:val="auto"/>
          <w:szCs w:val="21"/>
          <w:highlight w:val="none"/>
        </w:rPr>
        <w:t xml:space="preserve">格式3、</w:t>
      </w:r>
      <w:r>
        <w:rPr>
          <w:rFonts w:hint="eastAsia" w:ascii="宋体" w:hAnsi="宋体" w:cs="宋体"/>
          <w:color w:val="auto"/>
          <w:szCs w:val="21"/>
          <w:highlight w:val="none"/>
        </w:rPr>
        <w:t xml:space="preserve">拟派人员情况一览表</w:t>
      </w:r>
      <w:r/>
    </w:p>
    <w:p>
      <w:pPr>
        <w:jc w:val="center"/>
        <w:rPr>
          <w:rFonts w:ascii="宋体" w:cs="宋体"/>
          <w:b/>
          <w:bCs/>
          <w:color w:val="auto"/>
          <w:sz w:val="32"/>
          <w:szCs w:val="32"/>
          <w:highlight w:val="none"/>
        </w:rPr>
      </w:pPr>
      <w:r>
        <w:rPr>
          <w:rFonts w:hint="eastAsia" w:hAnsi="宋体"/>
          <w:b/>
          <w:bCs/>
          <w:color w:val="auto"/>
          <w:sz w:val="32"/>
          <w:szCs w:val="32"/>
          <w:highlight w:val="none"/>
        </w:rPr>
        <w:t xml:space="preserve">拟派人员情况一览表</w:t>
      </w:r>
      <w:r/>
    </w:p>
    <w:tbl>
      <w:tblPr>
        <w:tblStyle w:val="735"/>
        <w:tblpPr w:horzAnchor="page" w:tblpX="1943" w:vertAnchor="text" w:tblpY="10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630"/>
        <w:gridCol w:w="1855"/>
        <w:gridCol w:w="1764"/>
        <w:gridCol w:w="1116"/>
        <w:gridCol w:w="1152"/>
        <w:gridCol w:w="1143"/>
      </w:tblGrid>
      <w:tr>
        <w:trPr>
          <w:trHeight w:val="1442"/>
        </w:trPr>
        <w:tc>
          <w:tcPr>
            <w:tcW w:w="525" w:type="dxa"/>
            <w:textDirection w:val="lrTb"/>
            <w:noWrap w:val="false"/>
          </w:tcPr>
          <w:p>
            <w:pPr>
              <w:spacing w:line="300" w:lineRule="exact"/>
              <w:rPr>
                <w:rFonts w:ascii="宋体" w:cs="宋体"/>
                <w:b/>
                <w:bCs/>
                <w:color w:val="auto"/>
                <w:highlight w:val="none"/>
              </w:rPr>
            </w:pPr>
            <w:r>
              <w:rPr>
                <w:rFonts w:hint="eastAsia" w:ascii="宋体" w:cs="宋体"/>
                <w:b/>
                <w:bCs/>
                <w:color w:val="auto"/>
                <w:highlight w:val="none"/>
                <w:lang w:val="zh-CN"/>
              </w:rPr>
              <w:t xml:space="preserve">序号</w:t>
            </w:r>
            <w:r/>
          </w:p>
        </w:tc>
        <w:tc>
          <w:tcPr>
            <w:tcW w:w="630" w:type="dxa"/>
            <w:textDirection w:val="lrTb"/>
            <w:noWrap w:val="false"/>
          </w:tcPr>
          <w:p>
            <w:pPr>
              <w:spacing w:line="300" w:lineRule="exact"/>
              <w:rPr>
                <w:rFonts w:ascii="宋体" w:cs="宋体"/>
                <w:b/>
                <w:bCs/>
                <w:color w:val="auto"/>
                <w:highlight w:val="none"/>
              </w:rPr>
            </w:pPr>
            <w:r>
              <w:rPr>
                <w:rFonts w:hint="eastAsia" w:ascii="宋体" w:cs="宋体"/>
                <w:b/>
                <w:bCs/>
                <w:color w:val="auto"/>
                <w:highlight w:val="none"/>
                <w:lang w:val="zh-CN"/>
              </w:rPr>
              <w:t xml:space="preserve">姓名</w:t>
            </w:r>
            <w:r/>
          </w:p>
        </w:tc>
        <w:tc>
          <w:tcPr>
            <w:tcW w:w="1855" w:type="dxa"/>
            <w:textDirection w:val="lrTb"/>
            <w:noWrap w:val="false"/>
          </w:tcPr>
          <w:p>
            <w:pPr>
              <w:spacing w:line="300" w:lineRule="exact"/>
              <w:rPr>
                <w:rFonts w:ascii="宋体" w:cs="宋体"/>
                <w:b/>
                <w:bCs/>
                <w:color w:val="auto"/>
                <w:highlight w:val="none"/>
              </w:rPr>
            </w:pPr>
            <w:r>
              <w:rPr>
                <w:rFonts w:hint="eastAsia" w:ascii="宋体" w:cs="宋体"/>
                <w:b/>
                <w:bCs/>
                <w:color w:val="auto"/>
                <w:highlight w:val="none"/>
                <w:lang w:val="zh-CN"/>
              </w:rPr>
              <w:t xml:space="preserve">造价职业资格</w:t>
            </w:r>
            <w:r>
              <w:rPr>
                <w:rFonts w:hint="eastAsia" w:ascii="宋体" w:cs="宋体"/>
                <w:b/>
                <w:bCs/>
                <w:color w:val="auto"/>
                <w:highlight w:val="none"/>
              </w:rPr>
              <w:t xml:space="preserve">及</w:t>
            </w:r>
            <w:r>
              <w:rPr>
                <w:rFonts w:hint="eastAsia" w:ascii="宋体" w:cs="宋体"/>
                <w:b/>
                <w:bCs/>
                <w:color w:val="auto"/>
                <w:highlight w:val="none"/>
                <w:lang w:val="zh-CN"/>
              </w:rPr>
              <w:t xml:space="preserve">注册证（造价</w:t>
            </w:r>
            <w:r>
              <w:rPr>
                <w:rFonts w:hint="eastAsia" w:ascii="宋体" w:cs="宋体"/>
                <w:b/>
                <w:bCs/>
                <w:color w:val="auto"/>
                <w:highlight w:val="none"/>
              </w:rPr>
              <w:t xml:space="preserve">工程</w:t>
            </w:r>
            <w:r>
              <w:rPr>
                <w:rFonts w:hint="eastAsia" w:ascii="宋体" w:cs="宋体"/>
                <w:b/>
                <w:bCs/>
                <w:color w:val="auto"/>
                <w:highlight w:val="none"/>
                <w:lang w:val="zh-CN"/>
              </w:rPr>
              <w:t xml:space="preserve">师或其他造价从业人员）</w:t>
            </w:r>
            <w:r/>
          </w:p>
        </w:tc>
        <w:tc>
          <w:tcPr>
            <w:tcW w:w="1764" w:type="dxa"/>
            <w:textDirection w:val="lrTb"/>
            <w:noWrap w:val="false"/>
          </w:tcPr>
          <w:p>
            <w:pPr>
              <w:spacing w:line="300" w:lineRule="exact"/>
              <w:rPr>
                <w:rFonts w:ascii="宋体" w:cs="宋体"/>
                <w:b/>
                <w:bCs/>
                <w:color w:val="auto"/>
                <w:highlight w:val="none"/>
              </w:rPr>
            </w:pPr>
            <w:r>
              <w:rPr>
                <w:rFonts w:hint="eastAsia" w:ascii="宋体" w:cs="宋体"/>
                <w:b/>
                <w:bCs/>
                <w:color w:val="auto"/>
                <w:highlight w:val="none"/>
                <w:lang w:val="zh-CN"/>
              </w:rPr>
              <w:t xml:space="preserve">社保编号</w:t>
            </w:r>
            <w:r/>
          </w:p>
        </w:tc>
        <w:tc>
          <w:tcPr>
            <w:tcW w:w="1116" w:type="dxa"/>
            <w:textDirection w:val="lrTb"/>
            <w:noWrap w:val="false"/>
          </w:tcPr>
          <w:p>
            <w:pPr>
              <w:spacing w:line="300" w:lineRule="exact"/>
              <w:rPr>
                <w:rFonts w:ascii="宋体" w:cs="宋体"/>
                <w:b/>
                <w:bCs/>
                <w:color w:val="auto"/>
                <w:highlight w:val="none"/>
              </w:rPr>
            </w:pPr>
            <w:r>
              <w:rPr>
                <w:rFonts w:hint="eastAsia" w:ascii="宋体" w:cs="宋体"/>
                <w:b/>
                <w:bCs/>
                <w:color w:val="auto"/>
                <w:highlight w:val="none"/>
                <w:lang w:val="zh-CN"/>
              </w:rPr>
              <w:t xml:space="preserve">职称情况</w:t>
            </w:r>
            <w:r/>
          </w:p>
        </w:tc>
        <w:tc>
          <w:tcPr>
            <w:tcW w:w="1152" w:type="dxa"/>
            <w:textDirection w:val="lrTb"/>
            <w:noWrap w:val="false"/>
          </w:tcPr>
          <w:p>
            <w:pPr>
              <w:spacing w:line="300" w:lineRule="exact"/>
              <w:rPr>
                <w:rFonts w:ascii="宋体" w:cs="宋体"/>
                <w:b/>
                <w:bCs/>
                <w:color w:val="auto"/>
                <w:highlight w:val="none"/>
              </w:rPr>
            </w:pPr>
            <w:r>
              <w:rPr>
                <w:rFonts w:hint="eastAsia" w:ascii="宋体" w:cs="宋体"/>
                <w:b/>
                <w:bCs/>
                <w:color w:val="auto"/>
                <w:highlight w:val="none"/>
              </w:rPr>
              <w:t xml:space="preserve">专业情况</w:t>
            </w:r>
            <w:r/>
          </w:p>
        </w:tc>
        <w:tc>
          <w:tcPr>
            <w:tcW w:w="1143" w:type="dxa"/>
            <w:textDirection w:val="lrTb"/>
            <w:noWrap w:val="false"/>
          </w:tcPr>
          <w:p>
            <w:pPr>
              <w:spacing w:line="300" w:lineRule="exact"/>
              <w:rPr>
                <w:rFonts w:ascii="宋体" w:cs="宋体"/>
                <w:b/>
                <w:bCs/>
                <w:color w:val="auto"/>
                <w:highlight w:val="none"/>
              </w:rPr>
            </w:pPr>
            <w:r>
              <w:rPr>
                <w:rFonts w:hint="eastAsia" w:ascii="宋体" w:cs="宋体"/>
                <w:b/>
                <w:bCs/>
                <w:color w:val="auto"/>
                <w:highlight w:val="none"/>
                <w:lang w:val="zh-CN"/>
              </w:rPr>
              <w:t xml:space="preserve">执业</w:t>
            </w:r>
            <w:r>
              <w:rPr>
                <w:rFonts w:ascii="宋体" w:cs="宋体"/>
                <w:b/>
                <w:bCs/>
                <w:color w:val="auto"/>
                <w:highlight w:val="none"/>
                <w:lang w:val="zh-CN"/>
              </w:rPr>
              <w:t xml:space="preserve">印章</w:t>
            </w:r>
            <w:r/>
          </w:p>
        </w:tc>
      </w:tr>
      <w:tr>
        <w:trPr>
          <w:trHeight w:val="276"/>
        </w:trPr>
        <w:tc>
          <w:tcPr>
            <w:tcW w:w="525" w:type="dxa"/>
            <w:textDirection w:val="lrTb"/>
            <w:noWrap w:val="false"/>
          </w:tcPr>
          <w:p>
            <w:pPr>
              <w:rPr>
                <w:rFonts w:ascii="宋体" w:cs="宋体"/>
                <w:b/>
                <w:bCs/>
                <w:color w:val="auto"/>
                <w:highlight w:val="none"/>
              </w:rPr>
            </w:pPr>
            <w:r>
              <w:rPr>
                <w:rFonts w:ascii="宋体" w:cs="宋体"/>
                <w:b/>
                <w:bCs/>
                <w:color w:val="auto"/>
                <w:highlight w:val="none"/>
              </w:rPr>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Cs/>
                <w:color w:val="auto"/>
                <w:sz w:val="18"/>
                <w:szCs w:val="18"/>
                <w:highlight w:val="none"/>
              </w:rPr>
            </w:pPr>
            <w:r>
              <w:rPr>
                <w:rFonts w:hint="eastAsia" w:ascii="宋体" w:cs="宋体"/>
                <w:bCs/>
                <w:color w:val="auto"/>
                <w:sz w:val="18"/>
                <w:szCs w:val="18"/>
                <w:highlight w:val="none"/>
                <w:lang w:val="zh-CN"/>
              </w:rPr>
              <w:t xml:space="preserve">一级注册造价工程师</w:t>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76"/>
        </w:trPr>
        <w:tc>
          <w:tcPr>
            <w:tcW w:w="525" w:type="dxa"/>
            <w:textDirection w:val="lrTb"/>
            <w:noWrap w:val="false"/>
          </w:tcPr>
          <w:p>
            <w:pPr>
              <w:rPr>
                <w:rFonts w:ascii="宋体" w:cs="宋体"/>
                <w:b/>
                <w:bCs/>
                <w:color w:val="auto"/>
                <w:highlight w:val="none"/>
              </w:rPr>
            </w:pPr>
            <w:r>
              <w:rPr>
                <w:rFonts w:hint="eastAsia" w:ascii="宋体" w:cs="宋体"/>
                <w:b/>
                <w:bCs/>
                <w:color w:val="auto"/>
                <w:highlight w:val="none"/>
                <w:lang w:val="zh-CN"/>
              </w:rPr>
              <w:t xml:space="preserve">1</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76"/>
        </w:trPr>
        <w:tc>
          <w:tcPr>
            <w:tcW w:w="525" w:type="dxa"/>
            <w:textDirection w:val="lrTb"/>
            <w:noWrap w:val="false"/>
          </w:tcPr>
          <w:p>
            <w:pPr>
              <w:rPr>
                <w:rFonts w:ascii="宋体" w:cs="宋体"/>
                <w:b/>
                <w:bCs/>
                <w:color w:val="auto"/>
                <w:highlight w:val="none"/>
              </w:rPr>
            </w:pPr>
            <w:r>
              <w:rPr>
                <w:rFonts w:hint="eastAsia" w:ascii="宋体" w:cs="宋体"/>
                <w:b/>
                <w:bCs/>
                <w:color w:val="auto"/>
                <w:highlight w:val="none"/>
                <w:lang w:val="zh-CN"/>
              </w:rPr>
              <w:t xml:space="preserve">2</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76"/>
        </w:trPr>
        <w:tc>
          <w:tcPr>
            <w:tcW w:w="525" w:type="dxa"/>
            <w:textDirection w:val="lrTb"/>
            <w:noWrap w:val="false"/>
          </w:tcPr>
          <w:p>
            <w:pPr>
              <w:rPr>
                <w:rFonts w:ascii="宋体" w:cs="宋体"/>
                <w:b/>
                <w:bCs/>
                <w:color w:val="auto"/>
                <w:highlight w:val="none"/>
              </w:rPr>
            </w:pPr>
            <w:r>
              <w:rPr>
                <w:rFonts w:hint="eastAsia" w:ascii="宋体" w:cs="宋体"/>
                <w:b/>
                <w:bCs/>
                <w:color w:val="auto"/>
                <w:highlight w:val="none"/>
                <w:lang w:val="zh-CN"/>
              </w:rPr>
              <w:t xml:space="preserve">3</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76"/>
        </w:trPr>
        <w:tc>
          <w:tcPr>
            <w:tcW w:w="525" w:type="dxa"/>
            <w:textDirection w:val="lrTb"/>
            <w:noWrap w:val="false"/>
          </w:tcPr>
          <w:p>
            <w:pPr>
              <w:rPr>
                <w:rFonts w:ascii="宋体" w:cs="宋体"/>
                <w:b/>
                <w:bCs/>
                <w:color w:val="auto"/>
                <w:highlight w:val="none"/>
              </w:rPr>
            </w:pPr>
            <w:r>
              <w:rPr>
                <w:rFonts w:hint="eastAsia" w:ascii="宋体" w:cs="宋体"/>
                <w:b/>
                <w:bCs/>
                <w:color w:val="auto"/>
                <w:highlight w:val="none"/>
                <w:lang w:val="zh-CN"/>
              </w:rPr>
              <w:t xml:space="preserve">4</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61"/>
        </w:trPr>
        <w:tc>
          <w:tcPr>
            <w:tcW w:w="525" w:type="dxa"/>
            <w:textDirection w:val="lrTb"/>
            <w:noWrap w:val="false"/>
          </w:tcPr>
          <w:p>
            <w:pPr>
              <w:rPr>
                <w:rFonts w:ascii="宋体" w:cs="宋体"/>
                <w:b/>
                <w:bCs/>
                <w:color w:val="auto"/>
                <w:highlight w:val="none"/>
              </w:rPr>
            </w:pPr>
            <w:r>
              <w:rPr>
                <w:rFonts w:hint="eastAsia" w:ascii="宋体" w:cs="宋体"/>
                <w:b/>
                <w:bCs/>
                <w:color w:val="auto"/>
                <w:highlight w:val="none"/>
                <w:lang w:val="zh-CN"/>
              </w:rPr>
              <w:t xml:space="preserve">5</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76"/>
        </w:trPr>
        <w:tc>
          <w:tcPr>
            <w:tcW w:w="525" w:type="dxa"/>
            <w:textDirection w:val="lrTb"/>
            <w:noWrap w:val="false"/>
          </w:tcPr>
          <w:p>
            <w:pPr>
              <w:rPr>
                <w:rFonts w:ascii="宋体" w:cs="宋体"/>
                <w:b/>
                <w:bCs/>
                <w:color w:val="auto"/>
                <w:highlight w:val="none"/>
              </w:rPr>
            </w:pPr>
            <w:r>
              <w:rPr>
                <w:rFonts w:ascii="宋体" w:cs="宋体"/>
                <w:b/>
                <w:bCs/>
                <w:color w:val="auto"/>
                <w:highlight w:val="none"/>
                <w:lang w:val="zh-CN"/>
              </w:rPr>
              <w:t xml:space="preserve">…</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76"/>
        </w:trPr>
        <w:tc>
          <w:tcPr>
            <w:tcW w:w="525" w:type="dxa"/>
            <w:textDirection w:val="lrTb"/>
            <w:noWrap w:val="false"/>
          </w:tcPr>
          <w:p>
            <w:pPr>
              <w:rPr>
                <w:rFonts w:ascii="宋体" w:cs="宋体"/>
                <w:b/>
                <w:bCs/>
                <w:color w:val="auto"/>
                <w:highlight w:val="none"/>
              </w:rPr>
            </w:pPr>
            <w:r>
              <w:rPr>
                <w:rFonts w:ascii="宋体" w:cs="宋体"/>
                <w:b/>
                <w:bCs/>
                <w:color w:val="auto"/>
                <w:highlight w:val="none"/>
              </w:rPr>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hint="eastAsia" w:ascii="宋体" w:cs="宋体"/>
                <w:color w:val="auto"/>
                <w:sz w:val="18"/>
                <w:szCs w:val="18"/>
                <w:highlight w:val="none"/>
                <w:lang w:val="zh-CN"/>
              </w:rPr>
              <w:t xml:space="preserve">其他造价从业人员</w:t>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76"/>
        </w:trPr>
        <w:tc>
          <w:tcPr>
            <w:tcW w:w="525" w:type="dxa"/>
            <w:textDirection w:val="lrTb"/>
            <w:noWrap w:val="false"/>
          </w:tcPr>
          <w:p>
            <w:pPr>
              <w:rPr>
                <w:rFonts w:ascii="宋体" w:cs="宋体"/>
                <w:b/>
                <w:bCs/>
                <w:color w:val="auto"/>
                <w:highlight w:val="none"/>
              </w:rPr>
            </w:pPr>
            <w:r>
              <w:rPr>
                <w:rFonts w:hint="eastAsia" w:ascii="宋体" w:cs="宋体"/>
                <w:b/>
                <w:bCs/>
                <w:color w:val="auto"/>
                <w:highlight w:val="none"/>
                <w:lang w:val="zh-CN"/>
              </w:rPr>
              <w:t xml:space="preserve">1</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76"/>
        </w:trPr>
        <w:tc>
          <w:tcPr>
            <w:tcW w:w="525" w:type="dxa"/>
            <w:textDirection w:val="lrTb"/>
            <w:noWrap w:val="false"/>
          </w:tcPr>
          <w:p>
            <w:pPr>
              <w:rPr>
                <w:rFonts w:ascii="宋体" w:cs="宋体"/>
                <w:b/>
                <w:bCs/>
                <w:color w:val="auto"/>
                <w:highlight w:val="none"/>
              </w:rPr>
            </w:pPr>
            <w:r>
              <w:rPr>
                <w:rFonts w:hint="eastAsia" w:ascii="宋体" w:cs="宋体"/>
                <w:b/>
                <w:bCs/>
                <w:color w:val="auto"/>
                <w:highlight w:val="none"/>
                <w:lang w:val="zh-CN"/>
              </w:rPr>
              <w:t xml:space="preserve">2</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76"/>
        </w:trPr>
        <w:tc>
          <w:tcPr>
            <w:tcW w:w="525" w:type="dxa"/>
            <w:textDirection w:val="lrTb"/>
            <w:noWrap w:val="false"/>
          </w:tcPr>
          <w:p>
            <w:pPr>
              <w:rPr>
                <w:rFonts w:ascii="宋体" w:cs="宋体"/>
                <w:b/>
                <w:bCs/>
                <w:color w:val="auto"/>
                <w:highlight w:val="none"/>
              </w:rPr>
            </w:pPr>
            <w:r>
              <w:rPr>
                <w:rFonts w:hint="eastAsia" w:ascii="宋体" w:cs="宋体"/>
                <w:b/>
                <w:bCs/>
                <w:color w:val="auto"/>
                <w:highlight w:val="none"/>
                <w:lang w:val="zh-CN"/>
              </w:rPr>
              <w:t xml:space="preserve">3</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76"/>
        </w:trPr>
        <w:tc>
          <w:tcPr>
            <w:tcW w:w="525" w:type="dxa"/>
            <w:textDirection w:val="lrTb"/>
            <w:noWrap w:val="false"/>
          </w:tcPr>
          <w:p>
            <w:pPr>
              <w:rPr>
                <w:rFonts w:ascii="宋体" w:cs="宋体"/>
                <w:b/>
                <w:bCs/>
                <w:color w:val="auto"/>
                <w:highlight w:val="none"/>
              </w:rPr>
            </w:pPr>
            <w:r>
              <w:rPr>
                <w:rFonts w:hint="eastAsia" w:ascii="宋体" w:cs="宋体"/>
                <w:b/>
                <w:bCs/>
                <w:color w:val="auto"/>
                <w:highlight w:val="none"/>
                <w:lang w:val="zh-CN"/>
              </w:rPr>
              <w:t xml:space="preserve">4</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61"/>
        </w:trPr>
        <w:tc>
          <w:tcPr>
            <w:tcW w:w="525" w:type="dxa"/>
            <w:textDirection w:val="lrTb"/>
            <w:noWrap w:val="false"/>
          </w:tcPr>
          <w:p>
            <w:pPr>
              <w:rPr>
                <w:rFonts w:ascii="宋体" w:cs="宋体"/>
                <w:b/>
                <w:bCs/>
                <w:color w:val="auto"/>
                <w:highlight w:val="none"/>
              </w:rPr>
            </w:pPr>
            <w:r>
              <w:rPr>
                <w:rFonts w:hint="eastAsia" w:ascii="宋体" w:cs="宋体"/>
                <w:b/>
                <w:bCs/>
                <w:color w:val="auto"/>
                <w:highlight w:val="none"/>
                <w:lang w:val="zh-CN"/>
              </w:rPr>
              <w:t xml:space="preserve">5</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r>
        <w:trPr>
          <w:trHeight w:val="290"/>
        </w:trPr>
        <w:tc>
          <w:tcPr>
            <w:tcW w:w="525" w:type="dxa"/>
            <w:textDirection w:val="lrTb"/>
            <w:noWrap w:val="false"/>
          </w:tcPr>
          <w:p>
            <w:pPr>
              <w:rPr>
                <w:rFonts w:ascii="宋体" w:cs="宋体"/>
                <w:b/>
                <w:bCs/>
                <w:color w:val="auto"/>
                <w:highlight w:val="none"/>
              </w:rPr>
            </w:pPr>
            <w:r>
              <w:rPr>
                <w:rFonts w:ascii="宋体" w:cs="宋体"/>
                <w:b/>
                <w:bCs/>
                <w:color w:val="auto"/>
                <w:highlight w:val="none"/>
                <w:lang w:val="zh-CN"/>
              </w:rPr>
              <w:t xml:space="preserve">…</w:t>
            </w:r>
            <w:r/>
          </w:p>
        </w:tc>
        <w:tc>
          <w:tcPr>
            <w:tcW w:w="630" w:type="dxa"/>
            <w:textDirection w:val="lrTb"/>
            <w:noWrap w:val="false"/>
          </w:tcPr>
          <w:p>
            <w:pPr>
              <w:rPr>
                <w:rFonts w:ascii="宋体" w:cs="宋体"/>
                <w:b/>
                <w:bCs/>
                <w:color w:val="auto"/>
                <w:highlight w:val="none"/>
              </w:rPr>
            </w:pPr>
            <w:r>
              <w:rPr>
                <w:rFonts w:ascii="宋体" w:cs="宋体"/>
                <w:b/>
                <w:bCs/>
                <w:color w:val="auto"/>
                <w:highlight w:val="none"/>
              </w:rPr>
            </w:r>
            <w:r/>
          </w:p>
        </w:tc>
        <w:tc>
          <w:tcPr>
            <w:tcW w:w="1855" w:type="dxa"/>
            <w:textDirection w:val="lrTb"/>
            <w:noWrap w:val="false"/>
          </w:tcPr>
          <w:p>
            <w:pPr>
              <w:rPr>
                <w:rFonts w:ascii="宋体" w:cs="宋体"/>
                <w:b/>
                <w:bCs/>
                <w:color w:val="auto"/>
                <w:highlight w:val="none"/>
              </w:rPr>
            </w:pPr>
            <w:r>
              <w:rPr>
                <w:rFonts w:ascii="宋体" w:cs="宋体"/>
                <w:b/>
                <w:bCs/>
                <w:color w:val="auto"/>
                <w:highlight w:val="none"/>
              </w:rPr>
            </w:r>
            <w:r/>
          </w:p>
        </w:tc>
        <w:tc>
          <w:tcPr>
            <w:tcW w:w="1764" w:type="dxa"/>
            <w:textDirection w:val="lrTb"/>
            <w:noWrap w:val="false"/>
          </w:tcPr>
          <w:p>
            <w:pPr>
              <w:rPr>
                <w:rFonts w:ascii="宋体" w:cs="宋体"/>
                <w:b/>
                <w:bCs/>
                <w:color w:val="auto"/>
                <w:highlight w:val="none"/>
              </w:rPr>
            </w:pPr>
            <w:r>
              <w:rPr>
                <w:rFonts w:ascii="宋体" w:cs="宋体"/>
                <w:b/>
                <w:bCs/>
                <w:color w:val="auto"/>
                <w:highlight w:val="none"/>
              </w:rPr>
            </w:r>
            <w:r/>
          </w:p>
        </w:tc>
        <w:tc>
          <w:tcPr>
            <w:tcW w:w="1116" w:type="dxa"/>
            <w:textDirection w:val="lrTb"/>
            <w:noWrap w:val="false"/>
          </w:tcPr>
          <w:p>
            <w:pPr>
              <w:rPr>
                <w:rFonts w:ascii="宋体" w:cs="宋体"/>
                <w:b/>
                <w:bCs/>
                <w:color w:val="auto"/>
                <w:highlight w:val="none"/>
              </w:rPr>
            </w:pPr>
            <w:r>
              <w:rPr>
                <w:rFonts w:ascii="宋体" w:cs="宋体"/>
                <w:b/>
                <w:bCs/>
                <w:color w:val="auto"/>
                <w:highlight w:val="none"/>
              </w:rPr>
            </w:r>
            <w:r/>
          </w:p>
        </w:tc>
        <w:tc>
          <w:tcPr>
            <w:tcW w:w="1152" w:type="dxa"/>
            <w:textDirection w:val="lrTb"/>
            <w:noWrap w:val="false"/>
          </w:tcPr>
          <w:p>
            <w:pPr>
              <w:rPr>
                <w:rFonts w:ascii="宋体" w:cs="宋体"/>
                <w:b/>
                <w:bCs/>
                <w:color w:val="auto"/>
                <w:highlight w:val="none"/>
              </w:rPr>
            </w:pPr>
            <w:r>
              <w:rPr>
                <w:rFonts w:ascii="宋体" w:cs="宋体"/>
                <w:b/>
                <w:bCs/>
                <w:color w:val="auto"/>
                <w:highlight w:val="none"/>
              </w:rPr>
            </w:r>
            <w:r/>
          </w:p>
        </w:tc>
        <w:tc>
          <w:tcPr>
            <w:tcW w:w="1143" w:type="dxa"/>
            <w:textDirection w:val="lrTb"/>
            <w:noWrap w:val="false"/>
          </w:tcPr>
          <w:p>
            <w:pPr>
              <w:rPr>
                <w:rFonts w:ascii="宋体" w:cs="宋体"/>
                <w:b/>
                <w:bCs/>
                <w:color w:val="auto"/>
                <w:highlight w:val="none"/>
              </w:rPr>
            </w:pPr>
            <w:r>
              <w:rPr>
                <w:rFonts w:ascii="宋体" w:cs="宋体"/>
                <w:b/>
                <w:bCs/>
                <w:color w:val="auto"/>
                <w:highlight w:val="none"/>
              </w:rPr>
            </w:r>
            <w:r/>
          </w:p>
        </w:tc>
      </w:tr>
    </w:tbl>
    <w:p>
      <w:pPr>
        <w:rPr>
          <w:rFonts w:ascii="宋体" w:cs="宋体"/>
          <w:b/>
          <w:bCs/>
          <w:color w:val="auto"/>
          <w:highlight w:val="none"/>
        </w:rPr>
      </w:pPr>
      <w:r>
        <w:rPr>
          <w:rFonts w:ascii="宋体" w:cs="宋体"/>
          <w:b/>
          <w:bCs/>
          <w:color w:val="auto"/>
          <w:highlight w:val="none"/>
        </w:rPr>
      </w:r>
      <w:r/>
    </w:p>
    <w:p>
      <w:pPr>
        <w:pStyle w:val="745"/>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法定代表人或其授权委托人：（签字或盖章）</w:t>
      </w:r>
      <w:r/>
    </w:p>
    <w:p>
      <w:pPr>
        <w:rPr>
          <w:rFonts w:ascii="宋体" w:cs="宋体"/>
          <w:b/>
          <w:bCs/>
          <w:color w:val="auto"/>
          <w:szCs w:val="21"/>
          <w:highlight w:val="none"/>
        </w:rPr>
      </w:pPr>
      <w:r>
        <w:rPr>
          <w:rFonts w:hint="eastAsia" w:ascii="宋体" w:cs="宋体"/>
          <w:color w:val="auto"/>
          <w:szCs w:val="21"/>
          <w:highlight w:val="none"/>
          <w:lang w:val="zh-CN"/>
        </w:rPr>
        <w:t xml:space="preserve">投标</w:t>
      </w:r>
      <w:r>
        <w:rPr>
          <w:rFonts w:hint="eastAsia" w:ascii="宋体" w:cs="宋体"/>
          <w:color w:val="auto"/>
          <w:szCs w:val="21"/>
          <w:highlight w:val="none"/>
        </w:rPr>
        <w:t xml:space="preserve">人</w:t>
      </w:r>
      <w:r>
        <w:rPr>
          <w:rFonts w:hint="eastAsia" w:ascii="宋体" w:cs="宋体"/>
          <w:color w:val="auto"/>
          <w:szCs w:val="21"/>
          <w:highlight w:val="none"/>
          <w:lang w:val="zh-CN"/>
        </w:rPr>
        <w:t xml:space="preserve">（公章） </w:t>
      </w:r>
      <w:r>
        <w:rPr>
          <w:rFonts w:ascii="宋体" w:cs="宋体"/>
          <w:color w:val="auto"/>
          <w:szCs w:val="21"/>
          <w:highlight w:val="none"/>
          <w:lang w:val="zh-CN"/>
        </w:rPr>
        <w:t xml:space="preserve">                        </w:t>
      </w:r>
      <w:r>
        <w:rPr>
          <w:rFonts w:hint="eastAsia" w:ascii="宋体" w:cs="宋体"/>
          <w:color w:val="auto"/>
          <w:szCs w:val="21"/>
          <w:highlight w:val="none"/>
          <w:lang w:val="zh-CN"/>
        </w:rPr>
        <w:t xml:space="preserve">日期：</w:t>
      </w:r>
      <w:r/>
    </w:p>
    <w:p>
      <w:pPr>
        <w:rPr>
          <w:rFonts w:ascii="宋体" w:hAnsi="宋体" w:cs="宋体"/>
          <w:bCs/>
          <w:color w:val="auto"/>
          <w:highlight w:val="none"/>
        </w:rPr>
      </w:pPr>
      <w:r>
        <w:rPr>
          <w:rFonts w:hint="eastAsia" w:ascii="宋体" w:cs="宋体"/>
          <w:color w:val="auto"/>
          <w:highlight w:val="none"/>
          <w:lang w:val="zh-CN"/>
        </w:rPr>
        <w:t xml:space="preserve">注：</w:t>
      </w:r>
      <w:r>
        <w:rPr>
          <w:rFonts w:hint="eastAsia" w:ascii="宋体" w:hAnsi="宋体" w:cs="宋体"/>
          <w:color w:val="auto"/>
          <w:highlight w:val="none"/>
          <w:lang w:val="zh-CN"/>
        </w:rPr>
        <w:t xml:space="preserve">1.本表格顺序依照《拟投入一级注册造价</w:t>
      </w:r>
      <w:r>
        <w:rPr>
          <w:rFonts w:hint="eastAsia" w:ascii="宋体" w:hAnsi="宋体" w:cs="宋体"/>
          <w:color w:val="auto"/>
          <w:highlight w:val="none"/>
        </w:rPr>
        <w:t xml:space="preserve">工程</w:t>
      </w:r>
      <w:r>
        <w:rPr>
          <w:rFonts w:hint="eastAsia" w:ascii="宋体" w:hAnsi="宋体" w:cs="宋体"/>
          <w:color w:val="auto"/>
          <w:highlight w:val="none"/>
          <w:lang w:val="zh-CN"/>
        </w:rPr>
        <w:t xml:space="preserve">师、其他造价从业人员汇总一览表》顺序填写，并在职业印章栏盖造价从业人员执业印章（</w:t>
      </w:r>
      <w:r>
        <w:rPr>
          <w:rFonts w:hint="eastAsia" w:ascii="宋体" w:hAnsi="宋体" w:cs="宋体"/>
          <w:color w:val="auto"/>
          <w:highlight w:val="none"/>
        </w:rPr>
        <w:t xml:space="preserve">提供注册/资格证明，并提供缴纳社会养老保险记录。已在投标截止日前办理注册手续且正处于注册过程中的一级造价工程师或其他造价从业人员需另行提供行政主管部门注册执业证明并</w:t>
      </w:r>
      <w:r>
        <w:rPr>
          <w:rFonts w:hint="eastAsia" w:hAnsi="宋体"/>
          <w:color w:val="auto"/>
          <w:highlight w:val="none"/>
        </w:rPr>
        <w:t xml:space="preserve">提供职业资格证</w:t>
      </w:r>
      <w:r>
        <w:rPr>
          <w:rFonts w:hint="eastAsia" w:ascii="宋体" w:hAnsi="宋体" w:cs="宋体"/>
          <w:color w:val="auto"/>
          <w:highlight w:val="none"/>
        </w:rPr>
        <w:t xml:space="preserve">。造价从业人员具有一级造价工程师与其他造价从业人员双重资格的，仅计取一种职业资格，一级注册造价工程师资质按照执业印章内容计取；社保等证明资料应在投标前准备到位。重复申报职业资格人员或造价执业注册证书与执业印章不一致的，评标时不予认可。其他造价从业人员按照职业资格、社保内容计取，重复申报职业资格人员不予计取</w:t>
      </w:r>
      <w:r>
        <w:rPr>
          <w:rFonts w:hint="eastAsia" w:ascii="宋体" w:hAnsi="宋体" w:cs="宋体"/>
          <w:color w:val="auto"/>
          <w:highlight w:val="none"/>
          <w:lang w:val="zh-CN"/>
        </w:rPr>
        <w:t xml:space="preserve">）；</w:t>
      </w:r>
      <w:r/>
    </w:p>
    <w:p>
      <w:pPr>
        <w:rPr>
          <w:rFonts w:ascii="宋体" w:hAnsi="宋体" w:cs="宋体"/>
          <w:color w:val="auto"/>
          <w:highlight w:val="none"/>
        </w:rPr>
      </w:pPr>
      <w:r>
        <w:rPr>
          <w:rFonts w:hint="eastAsia" w:ascii="宋体" w:hAnsi="宋体" w:cs="宋体"/>
          <w:color w:val="auto"/>
          <w:highlight w:val="none"/>
          <w:lang w:val="zh-CN"/>
        </w:rPr>
        <w:t xml:space="preserve">2.附职称资格证书复印件。</w:t>
      </w:r>
      <w:r/>
    </w:p>
    <w:p>
      <w:pPr>
        <w:rPr>
          <w:rFonts w:ascii="宋体" w:hAnsi="宋体" w:cs="宋体"/>
          <w:color w:val="auto"/>
          <w:highlight w:val="none"/>
        </w:rPr>
      </w:pPr>
      <w:r>
        <w:rPr>
          <w:rFonts w:hint="eastAsia" w:ascii="宋体" w:hAnsi="宋体" w:cs="宋体"/>
          <w:color w:val="auto"/>
          <w:highlight w:val="none"/>
          <w:lang w:val="zh-CN"/>
        </w:rPr>
        <w:t xml:space="preserve">3.一级造价工程师和</w:t>
      </w:r>
      <w:r>
        <w:rPr>
          <w:rFonts w:hint="eastAsia" w:ascii="宋体" w:hAnsi="宋体" w:cs="宋体"/>
          <w:color w:val="auto"/>
          <w:highlight w:val="none"/>
        </w:rPr>
        <w:t xml:space="preserve">其他</w:t>
      </w:r>
      <w:r>
        <w:rPr>
          <w:rFonts w:hint="eastAsia" w:ascii="宋体" w:hAnsi="宋体" w:cs="宋体"/>
          <w:color w:val="auto"/>
          <w:highlight w:val="none"/>
          <w:lang w:val="zh-CN"/>
        </w:rPr>
        <w:t xml:space="preserve">造价从业人员</w:t>
      </w:r>
      <w:r>
        <w:rPr>
          <w:rFonts w:hint="eastAsia" w:ascii="宋体" w:hAnsi="宋体" w:cs="宋体"/>
          <w:color w:val="auto"/>
          <w:highlight w:val="none"/>
        </w:rPr>
        <w:t xml:space="preserve">提供</w:t>
      </w:r>
      <w:r>
        <w:rPr>
          <w:rFonts w:hint="eastAsia" w:ascii="宋体" w:hAnsi="宋体" w:cs="宋体"/>
          <w:color w:val="auto"/>
          <w:highlight w:val="none"/>
          <w:lang w:val="zh-CN"/>
        </w:rPr>
        <w:t xml:space="preserve">资格证书和执业注册证书复印件；</w:t>
      </w:r>
      <w:r/>
    </w:p>
    <w:p>
      <w:pPr>
        <w:rPr>
          <w:rFonts w:ascii="宋体" w:hAnsi="宋体" w:cs="宋体"/>
          <w:bCs/>
          <w:color w:val="auto"/>
          <w:highlight w:val="none"/>
        </w:rPr>
      </w:pPr>
      <w:r>
        <w:rPr>
          <w:rFonts w:hint="eastAsia" w:ascii="宋体" w:hAnsi="宋体" w:cs="宋体"/>
          <w:bCs/>
          <w:color w:val="auto"/>
          <w:highlight w:val="none"/>
          <w:lang w:val="zh-CN"/>
        </w:rPr>
        <w:t xml:space="preserve">4.表中的</w:t>
      </w:r>
      <w:r>
        <w:rPr>
          <w:rFonts w:hint="eastAsia" w:ascii="宋体" w:hAnsi="宋体" w:cs="宋体"/>
          <w:bCs/>
          <w:color w:val="auto"/>
          <w:highlight w:val="none"/>
        </w:rPr>
        <w:t xml:space="preserve">索引</w:t>
      </w:r>
      <w:r>
        <w:rPr>
          <w:rFonts w:hint="eastAsia" w:ascii="宋体" w:hAnsi="宋体" w:cs="宋体"/>
          <w:bCs/>
          <w:color w:val="auto"/>
          <w:highlight w:val="none"/>
          <w:lang w:val="zh-CN"/>
        </w:rPr>
        <w:t xml:space="preserve">指的是该项内容所提供的证明材料（如职业证书、从社保局下载的社保证明、职称证书等复印件，须盖公章）在投标文件中的第几页。如社保等证明材料为汇总表，需重新编码标注；</w:t>
      </w:r>
      <w:r/>
    </w:p>
    <w:p>
      <w:pPr>
        <w:pStyle w:val="736"/>
        <w:rPr>
          <w:rFonts w:ascii="宋体" w:hAnsi="宋体" w:cs="宋体"/>
          <w:bCs/>
          <w:color w:val="auto"/>
          <w:highlight w:val="none"/>
        </w:rPr>
      </w:pPr>
      <w:r>
        <w:rPr>
          <w:rFonts w:ascii="宋体" w:hAnsi="宋体" w:cs="宋体"/>
          <w:bCs/>
          <w:color w:val="auto"/>
          <w:highlight w:val="none"/>
        </w:rPr>
      </w:r>
      <w:r/>
    </w:p>
    <w:p>
      <w:pPr>
        <w:rPr>
          <w:rFonts w:ascii="宋体" w:hAnsi="宋体" w:cs="宋体"/>
          <w:bCs/>
          <w:color w:val="auto"/>
          <w:highlight w:val="none"/>
        </w:rPr>
      </w:pPr>
      <w:r>
        <w:rPr>
          <w:rFonts w:ascii="宋体" w:hAnsi="宋体" w:cs="宋体"/>
          <w:bCs/>
          <w:color w:val="auto"/>
          <w:highlight w:val="none"/>
        </w:rPr>
      </w:r>
      <w:r/>
    </w:p>
    <w:p>
      <w:pPr>
        <w:jc w:val="left"/>
        <w:spacing w:line="360" w:lineRule="auto"/>
        <w:rPr>
          <w:rFonts w:hAnsi="宋体"/>
          <w:color w:val="auto"/>
          <w:szCs w:val="21"/>
          <w:highlight w:val="none"/>
        </w:rPr>
      </w:pPr>
      <w:r>
        <w:rPr>
          <w:rFonts w:hAnsi="宋体"/>
          <w:color w:val="auto"/>
          <w:szCs w:val="21"/>
          <w:highlight w:val="none"/>
        </w:rPr>
      </w:r>
      <w:r/>
    </w:p>
    <w:p>
      <w:pPr>
        <w:rPr>
          <w:rFonts w:hAnsi="宋体"/>
          <w:color w:val="auto"/>
          <w:highlight w:val="none"/>
        </w:rPr>
      </w:pPr>
      <w:r>
        <w:rPr>
          <w:rFonts w:hint="eastAsia" w:hAnsi="宋体"/>
          <w:color w:val="auto"/>
          <w:szCs w:val="21"/>
          <w:highlight w:val="none"/>
        </w:rPr>
        <w:br w:type="page" w:clear="all"/>
      </w:r>
      <w:r/>
    </w:p>
    <w:p>
      <w:pPr>
        <w:jc w:val="left"/>
        <w:spacing w:line="360" w:lineRule="auto"/>
        <w:widowControl/>
        <w:rPr>
          <w:rFonts w:hAnsi="宋体"/>
          <w:color w:val="auto"/>
          <w:highlight w:val="none"/>
        </w:rPr>
      </w:pPr>
      <w:r>
        <w:rPr>
          <w:rFonts w:hint="eastAsia" w:hAnsi="宋体"/>
          <w:color w:val="auto"/>
          <w:szCs w:val="21"/>
          <w:highlight w:val="none"/>
        </w:rPr>
        <w:t xml:space="preserve">格式4：投标单位评审内容响应情况表</w:t>
      </w:r>
      <w:r/>
    </w:p>
    <w:p>
      <w:pPr>
        <w:jc w:val="center"/>
        <w:spacing w:line="360" w:lineRule="auto"/>
        <w:widowControl/>
        <w:rPr>
          <w:rFonts w:ascii="黑体" w:eastAsia="黑体"/>
          <w:b/>
          <w:color w:val="auto"/>
          <w:sz w:val="30"/>
          <w:szCs w:val="30"/>
          <w:highlight w:val="none"/>
        </w:rPr>
      </w:pPr>
      <w:r>
        <w:rPr>
          <w:rFonts w:hint="eastAsia" w:ascii="黑体" w:eastAsia="黑体"/>
          <w:b/>
          <w:color w:val="auto"/>
          <w:sz w:val="30"/>
          <w:szCs w:val="30"/>
          <w:highlight w:val="none"/>
        </w:rPr>
        <w:t xml:space="preserve">投标单位评审内容响应情况表</w:t>
      </w:r>
      <w:r/>
    </w:p>
    <w:tbl>
      <w:tblPr>
        <w:tblStyle w:val="735"/>
        <w:tblW w:w="85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97"/>
        <w:gridCol w:w="4044"/>
        <w:gridCol w:w="1200"/>
      </w:tblGrid>
      <w:tr>
        <w:trPr>
          <w:trHeight w:val="859"/>
        </w:trPr>
        <w:tc>
          <w:tcPr>
            <w:tcW w:w="3297" w:type="dxa"/>
            <w:vAlign w:val="center"/>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评审内容</w:t>
            </w:r>
            <w:r/>
          </w:p>
        </w:tc>
        <w:tc>
          <w:tcPr>
            <w:tcW w:w="4044" w:type="dxa"/>
            <w:vAlign w:val="center"/>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投标单位响应情况</w:t>
            </w:r>
            <w:r/>
          </w:p>
        </w:tc>
        <w:tc>
          <w:tcPr>
            <w:tcW w:w="1200" w:type="dxa"/>
            <w:vAlign w:val="center"/>
            <w:textDirection w:val="lrTb"/>
            <w:noWrap w:val="false"/>
          </w:tcPr>
          <w:p>
            <w:pPr>
              <w:ind w:firstLine="210"/>
              <w:jc w:val="left"/>
              <w:spacing w:line="360" w:lineRule="auto"/>
              <w:widowControl/>
              <w:rPr>
                <w:rFonts w:hAnsi="宋体"/>
                <w:color w:val="auto"/>
                <w:szCs w:val="21"/>
                <w:highlight w:val="none"/>
              </w:rPr>
            </w:pPr>
            <w:r>
              <w:rPr>
                <w:rFonts w:hint="eastAsia" w:hAnsi="宋体"/>
                <w:color w:val="auto"/>
                <w:szCs w:val="21"/>
                <w:highlight w:val="none"/>
              </w:rPr>
              <w:t xml:space="preserve">备注</w:t>
            </w:r>
            <w:r/>
          </w:p>
        </w:tc>
      </w:tr>
      <w:tr>
        <w:trPr>
          <w:trHeight w:val="559"/>
        </w:trPr>
        <w:tc>
          <w:tcPr>
            <w:gridSpan w:val="3"/>
            <w:tcW w:w="8541" w:type="dxa"/>
            <w:vAlign w:val="center"/>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（一）</w:t>
            </w:r>
            <w:r>
              <w:rPr>
                <w:rFonts w:hint="eastAsia" w:hAnsi="宋体"/>
                <w:color w:val="auto"/>
                <w:szCs w:val="21"/>
                <w:highlight w:val="none"/>
                <w:lang w:val="zh-CN"/>
              </w:rPr>
              <w:t xml:space="preserve">服务方案</w:t>
            </w:r>
            <w:r>
              <w:rPr>
                <w:rFonts w:hint="eastAsia" w:hAnsi="宋体"/>
                <w:color w:val="auto"/>
                <w:szCs w:val="21"/>
                <w:highlight w:val="none"/>
              </w:rPr>
              <w:t xml:space="preserve">比较</w:t>
            </w:r>
            <w:r/>
          </w:p>
        </w:tc>
      </w:tr>
      <w:tr>
        <w:trPr/>
        <w:tc>
          <w:tcPr>
            <w:gridSpan w:val="3"/>
            <w:tcW w:w="8541" w:type="dxa"/>
            <w:vAlign w:val="center"/>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1、</w:t>
            </w:r>
            <w:r>
              <w:rPr>
                <w:rFonts w:hint="eastAsia" w:hAnsi="宋体"/>
                <w:color w:val="auto"/>
                <w:szCs w:val="21"/>
                <w:highlight w:val="none"/>
                <w:lang w:val="zh-CN"/>
              </w:rPr>
              <w:t xml:space="preserve">企业内部管理制度</w:t>
            </w:r>
            <w:r/>
          </w:p>
        </w:tc>
      </w:tr>
      <w:tr>
        <w:trPr/>
        <w:tc>
          <w:tcPr>
            <w:tcW w:w="3297" w:type="dxa"/>
            <w:vAlign w:val="center"/>
            <w:textDirection w:val="lrTb"/>
            <w:noWrap w:val="false"/>
          </w:tcPr>
          <w:p>
            <w:pPr>
              <w:jc w:val="left"/>
              <w:spacing w:line="360" w:lineRule="auto"/>
              <w:widowControl/>
              <w:rPr>
                <w:rFonts w:hAnsi="宋体"/>
                <w:color w:val="auto"/>
                <w:szCs w:val="21"/>
                <w:highlight w:val="none"/>
              </w:rPr>
            </w:pPr>
            <w:r>
              <w:rPr>
                <w:rFonts w:hint="eastAsia"/>
                <w:color w:val="auto"/>
                <w:szCs w:val="21"/>
                <w:highlight w:val="none"/>
              </w:rPr>
              <w:t xml:space="preserve">（1）质量控制制度</w:t>
            </w:r>
            <w:r/>
          </w:p>
        </w:tc>
        <w:tc>
          <w:tcPr>
            <w:tcW w:w="4044" w:type="dxa"/>
            <w:vAlign w:val="center"/>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rPr>
              <w:t xml:space="preserve">填写有或无</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c>
          <w:tcPr>
            <w:tcW w:w="3297" w:type="dxa"/>
            <w:vAlign w:val="center"/>
            <w:textDirection w:val="lrTb"/>
            <w:noWrap w:val="false"/>
          </w:tcPr>
          <w:p>
            <w:pPr>
              <w:jc w:val="left"/>
              <w:spacing w:line="360" w:lineRule="auto"/>
              <w:widowControl/>
              <w:rPr>
                <w:rFonts w:hAnsi="宋体"/>
                <w:color w:val="auto"/>
                <w:szCs w:val="21"/>
                <w:highlight w:val="none"/>
              </w:rPr>
            </w:pPr>
            <w:r>
              <w:rPr>
                <w:rFonts w:hint="eastAsia"/>
                <w:color w:val="auto"/>
                <w:szCs w:val="21"/>
                <w:highlight w:val="none"/>
              </w:rPr>
              <w:t xml:space="preserve">（2）人事管理制度</w:t>
            </w:r>
            <w:r/>
          </w:p>
        </w:tc>
        <w:tc>
          <w:tcPr>
            <w:tcW w:w="4044" w:type="dxa"/>
            <w:vAlign w:val="center"/>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rPr>
              <w:t xml:space="preserve">填写有或无</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c>
          <w:tcPr>
            <w:tcW w:w="3297" w:type="dxa"/>
            <w:vAlign w:val="center"/>
            <w:textDirection w:val="lrTb"/>
            <w:noWrap w:val="false"/>
          </w:tcPr>
          <w:p>
            <w:pPr>
              <w:jc w:val="left"/>
              <w:spacing w:line="360" w:lineRule="auto"/>
              <w:widowControl/>
              <w:rPr>
                <w:rFonts w:hAnsi="宋体"/>
                <w:color w:val="auto"/>
                <w:szCs w:val="21"/>
                <w:highlight w:val="none"/>
              </w:rPr>
            </w:pPr>
            <w:r>
              <w:rPr>
                <w:rFonts w:hint="eastAsia"/>
                <w:color w:val="auto"/>
                <w:szCs w:val="21"/>
                <w:highlight w:val="none"/>
              </w:rPr>
              <w:t xml:space="preserve">（3）企业财务制度及档案管理制度</w:t>
            </w:r>
            <w:r/>
          </w:p>
        </w:tc>
        <w:tc>
          <w:tcPr>
            <w:tcW w:w="4044" w:type="dxa"/>
            <w:vAlign w:val="center"/>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rPr>
              <w:t xml:space="preserve">填写有或无</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c>
          <w:tcPr>
            <w:gridSpan w:val="3"/>
            <w:tcW w:w="8541" w:type="dxa"/>
            <w:vAlign w:val="center"/>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2、服务工作方案</w:t>
            </w:r>
            <w:r/>
          </w:p>
        </w:tc>
      </w:tr>
      <w:tr>
        <w:trPr/>
        <w:tc>
          <w:tcPr>
            <w:tcW w:w="3297" w:type="dxa"/>
            <w:vAlign w:val="center"/>
            <w:textDirection w:val="lrTb"/>
            <w:noWrap w:val="false"/>
          </w:tcPr>
          <w:p>
            <w:pPr>
              <w:jc w:val="left"/>
              <w:spacing w:line="360" w:lineRule="auto"/>
              <w:widowControl/>
              <w:rPr>
                <w:rFonts w:hAnsi="宋体"/>
                <w:color w:val="auto"/>
                <w:szCs w:val="21"/>
                <w:highlight w:val="none"/>
              </w:rPr>
            </w:pPr>
            <w:r>
              <w:rPr>
                <w:rFonts w:hint="eastAsia"/>
                <w:color w:val="auto"/>
                <w:szCs w:val="21"/>
                <w:highlight w:val="none"/>
              </w:rPr>
              <w:t xml:space="preserve">（1）协审服务方案</w:t>
            </w:r>
            <w:r/>
          </w:p>
        </w:tc>
        <w:tc>
          <w:tcPr>
            <w:tcW w:w="4044" w:type="dxa"/>
            <w:vAlign w:val="center"/>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rPr>
              <w:t xml:space="preserve">填写有或无</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c>
          <w:tcPr>
            <w:tcW w:w="3297" w:type="dxa"/>
            <w:vAlign w:val="center"/>
            <w:textDirection w:val="lrTb"/>
            <w:noWrap w:val="false"/>
          </w:tcPr>
          <w:p>
            <w:pPr>
              <w:jc w:val="left"/>
              <w:spacing w:line="360" w:lineRule="auto"/>
              <w:widowControl/>
              <w:rPr>
                <w:rFonts w:hAnsi="宋体"/>
                <w:color w:val="auto"/>
                <w:szCs w:val="21"/>
                <w:highlight w:val="none"/>
              </w:rPr>
            </w:pPr>
            <w:r>
              <w:rPr>
                <w:rFonts w:hint="eastAsia"/>
                <w:color w:val="auto"/>
                <w:szCs w:val="21"/>
                <w:highlight w:val="none"/>
              </w:rPr>
              <w:t xml:space="preserve">（2）应急响应时间保障</w:t>
            </w:r>
            <w:r/>
          </w:p>
        </w:tc>
        <w:tc>
          <w:tcPr>
            <w:tcW w:w="4044" w:type="dxa"/>
            <w:vAlign w:val="center"/>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u w:val="single"/>
              </w:rPr>
              <w:t xml:space="preserve">     </w:t>
            </w:r>
            <w:r>
              <w:rPr>
                <w:rFonts w:hint="eastAsia" w:hAnsi="宋体"/>
                <w:color w:val="auto"/>
                <w:szCs w:val="21"/>
                <w:highlight w:val="none"/>
              </w:rPr>
              <w:t xml:space="preserve">小时</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13"/>
        </w:trPr>
        <w:tc>
          <w:tcPr>
            <w:gridSpan w:val="3"/>
            <w:tcW w:w="8541" w:type="dxa"/>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（二）投入本项目人员情况（拟投入人员名单前十二名）</w:t>
            </w:r>
            <w:r/>
          </w:p>
        </w:tc>
      </w:tr>
      <w:tr>
        <w:trPr>
          <w:trHeight w:val="70"/>
        </w:trPr>
        <w:tc>
          <w:tcPr>
            <w:gridSpan w:val="3"/>
            <w:tcW w:w="8541" w:type="dxa"/>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1、拟投入人员执业资格：</w:t>
            </w:r>
            <w:r/>
          </w:p>
        </w:tc>
      </w:tr>
      <w:tr>
        <w:trPr>
          <w:trHeight w:val="70"/>
        </w:trPr>
        <w:tc>
          <w:tcPr>
            <w:tcW w:w="3297" w:type="dxa"/>
            <w:vAlign w:val="center"/>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具有一级造价工程师数量</w:t>
            </w:r>
            <w:r/>
          </w:p>
        </w:tc>
        <w:tc>
          <w:tcPr>
            <w:tcW w:w="4044" w:type="dxa"/>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（填写一级造价工程师__人）</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70"/>
        </w:trPr>
        <w:tc>
          <w:tcPr>
            <w:gridSpan w:val="3"/>
            <w:tcW w:w="8541" w:type="dxa"/>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2、拟投入人员专业配备情况：</w:t>
            </w:r>
            <w:r/>
          </w:p>
        </w:tc>
      </w:tr>
      <w:tr>
        <w:trPr>
          <w:trHeight w:val="450"/>
        </w:trPr>
        <w:tc>
          <w:tcPr>
            <w:tcW w:w="3297" w:type="dxa"/>
            <w:textDirection w:val="lrTb"/>
            <w:noWrap w:val="false"/>
          </w:tcPr>
          <w:p>
            <w:pPr>
              <w:spacing w:line="360" w:lineRule="auto"/>
              <w:widowControl/>
              <w:rPr>
                <w:rFonts w:hAnsi="宋体"/>
                <w:color w:val="auto"/>
                <w:szCs w:val="21"/>
                <w:highlight w:val="none"/>
              </w:rPr>
            </w:pPr>
            <w:r>
              <w:rPr>
                <w:rFonts w:hint="eastAsia" w:hAnsi="宋体"/>
                <w:color w:val="auto"/>
                <w:szCs w:val="21"/>
                <w:highlight w:val="none"/>
              </w:rPr>
              <w:t xml:space="preserve">（1）具有装饰专业人次</w:t>
            </w:r>
            <w:r/>
          </w:p>
        </w:tc>
        <w:tc>
          <w:tcPr>
            <w:tcW w:w="4044" w:type="dxa"/>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rPr>
              <w:t xml:space="preserve">（填写装饰__人次）</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textDirection w:val="lrTb"/>
            <w:noWrap w:val="false"/>
          </w:tcPr>
          <w:p>
            <w:pPr>
              <w:spacing w:line="360" w:lineRule="auto"/>
              <w:widowControl/>
              <w:rPr>
                <w:rFonts w:hAnsi="宋体"/>
                <w:color w:val="auto"/>
                <w:szCs w:val="21"/>
                <w:highlight w:val="none"/>
              </w:rPr>
            </w:pPr>
            <w:r>
              <w:rPr>
                <w:rFonts w:hint="eastAsia" w:hAnsi="宋体"/>
                <w:color w:val="auto"/>
                <w:szCs w:val="21"/>
                <w:highlight w:val="none"/>
              </w:rPr>
              <w:t xml:space="preserve">（2）具有市政</w:t>
            </w:r>
            <w:r>
              <w:rPr>
                <w:rFonts w:hint="eastAsia"/>
                <w:color w:val="auto"/>
                <w:szCs w:val="21"/>
                <w:highlight w:val="none"/>
              </w:rPr>
              <w:t xml:space="preserve">绿化</w:t>
            </w:r>
            <w:r>
              <w:rPr>
                <w:rFonts w:hint="eastAsia" w:hAnsi="宋体"/>
                <w:color w:val="auto"/>
                <w:szCs w:val="21"/>
                <w:highlight w:val="none"/>
              </w:rPr>
              <w:t xml:space="preserve">专业人次</w:t>
            </w:r>
            <w:r/>
          </w:p>
        </w:tc>
        <w:tc>
          <w:tcPr>
            <w:tcW w:w="4044" w:type="dxa"/>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rPr>
              <w:t xml:space="preserve">（填写市政__人次）</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（3）具有</w:t>
            </w:r>
            <w:r>
              <w:rPr>
                <w:rFonts w:hint="eastAsia"/>
                <w:color w:val="auto"/>
                <w:szCs w:val="21"/>
                <w:highlight w:val="none"/>
              </w:rPr>
              <w:t xml:space="preserve">园林绿化</w:t>
            </w:r>
            <w:r>
              <w:rPr>
                <w:rFonts w:hint="eastAsia" w:hAnsi="宋体"/>
                <w:color w:val="auto"/>
                <w:szCs w:val="21"/>
                <w:highlight w:val="none"/>
              </w:rPr>
              <w:t xml:space="preserve">专业人次</w:t>
            </w:r>
            <w:r/>
          </w:p>
        </w:tc>
        <w:tc>
          <w:tcPr>
            <w:tcW w:w="4044" w:type="dxa"/>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rPr>
              <w:t xml:space="preserve">（填写</w:t>
            </w:r>
            <w:r>
              <w:rPr>
                <w:rFonts w:hint="eastAsia"/>
                <w:color w:val="auto"/>
                <w:szCs w:val="21"/>
                <w:highlight w:val="none"/>
              </w:rPr>
              <w:t xml:space="preserve">园林绿化</w:t>
            </w:r>
            <w:r>
              <w:rPr>
                <w:rFonts w:hint="eastAsia" w:hAnsi="宋体"/>
                <w:color w:val="auto"/>
                <w:szCs w:val="21"/>
                <w:highlight w:val="none"/>
              </w:rPr>
              <w:t xml:space="preserve">__人次）</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vMerge w:val="restart"/>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3、拟投入人员中高级职称配备情况：</w:t>
            </w:r>
            <w:r/>
          </w:p>
        </w:tc>
        <w:tc>
          <w:tcPr>
            <w:tcW w:w="4044" w:type="dxa"/>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rPr>
              <w:t xml:space="preserve">（填写高级职称__人）</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vMerge w:val="continue"/>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c>
          <w:tcPr>
            <w:tcW w:w="4044" w:type="dxa"/>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rPr>
              <w:t xml:space="preserve">（填写中级职称__人）</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gridSpan w:val="3"/>
            <w:tcW w:w="8541" w:type="dxa"/>
            <w:vAlign w:val="center"/>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4、拟选派人员2022、2023、2024年（以报告出具时间列入统计）已完成工程造价咨询的项目情况</w:t>
            </w:r>
            <w:r/>
          </w:p>
        </w:tc>
      </w:tr>
      <w:tr>
        <w:trPr>
          <w:trHeight w:val="450"/>
        </w:trPr>
        <w:tc>
          <w:tcPr>
            <w:tcW w:w="3297" w:type="dxa"/>
            <w:vAlign w:val="center"/>
            <w:vMerge w:val="restart"/>
            <w:textDirection w:val="lrTb"/>
            <w:noWrap w:val="false"/>
          </w:tcPr>
          <w:p>
            <w:pPr>
              <w:jc w:val="left"/>
              <w:spacing w:line="360" w:lineRule="auto"/>
              <w:widowControl/>
              <w:rPr>
                <w:rFonts w:hAnsi="宋体"/>
                <w:color w:val="auto"/>
                <w:szCs w:val="21"/>
                <w:highlight w:val="none"/>
              </w:rPr>
            </w:pPr>
            <w:r>
              <w:rPr>
                <w:rFonts w:hint="eastAsia"/>
                <w:color w:val="auto"/>
                <w:szCs w:val="21"/>
                <w:highlight w:val="none"/>
              </w:rPr>
              <w:t xml:space="preserve">（1）概算编制或概算审核项目</w:t>
            </w:r>
            <w:r/>
          </w:p>
        </w:tc>
        <w:tc>
          <w:tcPr>
            <w:tcW w:w="4044" w:type="dxa"/>
            <w:textDirection w:val="lrTb"/>
            <w:noWrap w:val="false"/>
          </w:tcPr>
          <w:p>
            <w:pPr>
              <w:jc w:val="center"/>
              <w:spacing w:line="360" w:lineRule="auto"/>
              <w:widowControl/>
              <w:rPr>
                <w:rFonts w:hAnsi="宋体"/>
                <w:color w:val="auto"/>
                <w:szCs w:val="21"/>
                <w:highlight w:val="none"/>
              </w:rPr>
            </w:pPr>
            <w:r>
              <w:rPr>
                <w:rFonts w:hint="eastAsia"/>
                <w:color w:val="auto"/>
                <w:szCs w:val="21"/>
                <w:highlight w:val="none"/>
              </w:rPr>
              <w:t xml:space="preserve">5000万元（不含）以下</w:t>
            </w:r>
            <w:r>
              <w:rPr>
                <w:rFonts w:hint="eastAsia" w:hAnsi="宋体"/>
                <w:color w:val="auto"/>
                <w:szCs w:val="21"/>
                <w:highlight w:val="none"/>
              </w:rPr>
              <w:t xml:space="preserve">__个</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vMerge w:val="continue"/>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c>
          <w:tcPr>
            <w:tcW w:w="4044" w:type="dxa"/>
            <w:textDirection w:val="lrTb"/>
            <w:noWrap w:val="false"/>
          </w:tcPr>
          <w:p>
            <w:pPr>
              <w:jc w:val="center"/>
              <w:spacing w:line="360" w:lineRule="auto"/>
              <w:widowControl/>
              <w:rPr>
                <w:rFonts w:hAnsi="宋体"/>
                <w:color w:val="auto"/>
                <w:szCs w:val="21"/>
                <w:highlight w:val="none"/>
              </w:rPr>
            </w:pPr>
            <w:r>
              <w:rPr>
                <w:rFonts w:hint="eastAsia"/>
                <w:color w:val="auto"/>
                <w:szCs w:val="21"/>
                <w:highlight w:val="none"/>
              </w:rPr>
              <w:t xml:space="preserve">5000万元（含）到</w:t>
            </w:r>
            <w:r>
              <w:rPr>
                <w:color w:val="auto"/>
                <w:szCs w:val="21"/>
                <w:highlight w:val="none"/>
              </w:rPr>
              <w:t xml:space="preserve">1</w:t>
            </w:r>
            <w:r>
              <w:rPr>
                <w:rFonts w:hint="eastAsia"/>
                <w:color w:val="auto"/>
                <w:szCs w:val="21"/>
                <w:highlight w:val="none"/>
              </w:rPr>
              <w:t xml:space="preserve">亿元（不含）的</w:t>
            </w:r>
            <w:r>
              <w:rPr>
                <w:rFonts w:hint="eastAsia" w:hAnsi="宋体"/>
                <w:color w:val="auto"/>
                <w:szCs w:val="21"/>
                <w:highlight w:val="none"/>
              </w:rPr>
              <w:t xml:space="preserve">__个</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vMerge w:val="continue"/>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c>
          <w:tcPr>
            <w:tcW w:w="4044" w:type="dxa"/>
            <w:textDirection w:val="lrTb"/>
            <w:noWrap w:val="false"/>
          </w:tcPr>
          <w:p>
            <w:pPr>
              <w:jc w:val="center"/>
              <w:spacing w:line="360" w:lineRule="auto"/>
              <w:widowControl/>
              <w:rPr>
                <w:rFonts w:hAnsi="宋体"/>
                <w:color w:val="auto"/>
                <w:szCs w:val="21"/>
                <w:highlight w:val="none"/>
              </w:rPr>
            </w:pPr>
            <w:r>
              <w:rPr>
                <w:rFonts w:hint="eastAsia"/>
                <w:color w:val="auto"/>
                <w:szCs w:val="21"/>
                <w:highlight w:val="none"/>
              </w:rPr>
              <w:t xml:space="preserve">1亿元（含）到2亿元（不含）的</w:t>
            </w:r>
            <w:r>
              <w:rPr>
                <w:rFonts w:hint="eastAsia" w:hAnsi="宋体"/>
                <w:color w:val="auto"/>
                <w:szCs w:val="21"/>
                <w:highlight w:val="none"/>
              </w:rPr>
              <w:t xml:space="preserve">__个</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vMerge w:val="continue"/>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c>
          <w:tcPr>
            <w:tcW w:w="4044" w:type="dxa"/>
            <w:textDirection w:val="lrTb"/>
            <w:noWrap w:val="false"/>
          </w:tcPr>
          <w:p>
            <w:pPr>
              <w:jc w:val="center"/>
              <w:spacing w:line="360" w:lineRule="auto"/>
              <w:widowControl/>
              <w:rPr>
                <w:rFonts w:hAnsi="宋体"/>
                <w:color w:val="auto"/>
                <w:szCs w:val="21"/>
                <w:highlight w:val="none"/>
              </w:rPr>
            </w:pPr>
            <w:r>
              <w:rPr>
                <w:rFonts w:hint="eastAsia"/>
                <w:color w:val="auto"/>
                <w:szCs w:val="21"/>
                <w:highlight w:val="none"/>
              </w:rPr>
              <w:t xml:space="preserve">2亿元（含）以上的</w:t>
            </w:r>
            <w:r>
              <w:rPr>
                <w:rFonts w:hint="eastAsia" w:hAnsi="宋体"/>
                <w:color w:val="auto"/>
                <w:szCs w:val="21"/>
                <w:highlight w:val="none"/>
              </w:rPr>
              <w:t xml:space="preserve">__个</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vMerge w:val="restart"/>
            <w:textDirection w:val="lrTb"/>
            <w:noWrap w:val="false"/>
          </w:tcPr>
          <w:p>
            <w:pPr>
              <w:jc w:val="left"/>
              <w:spacing w:line="360" w:lineRule="auto"/>
              <w:widowControl/>
              <w:rPr>
                <w:rFonts w:hAnsi="宋体"/>
                <w:color w:val="auto"/>
                <w:szCs w:val="21"/>
                <w:highlight w:val="none"/>
              </w:rPr>
            </w:pPr>
            <w:r>
              <w:rPr>
                <w:rFonts w:hint="eastAsia"/>
                <w:color w:val="auto"/>
                <w:szCs w:val="21"/>
                <w:highlight w:val="none"/>
              </w:rPr>
              <w:t xml:space="preserve">（2）</w:t>
            </w:r>
            <w:r>
              <w:rPr>
                <w:rFonts w:hint="eastAsia" w:hAnsi="宋体"/>
                <w:color w:val="auto"/>
                <w:szCs w:val="21"/>
                <w:highlight w:val="none"/>
              </w:rPr>
              <w:t xml:space="preserve">工程预算编制或预算审核项目</w:t>
            </w:r>
            <w:r/>
          </w:p>
        </w:tc>
        <w:tc>
          <w:tcPr>
            <w:tcW w:w="4044" w:type="dxa"/>
            <w:textDirection w:val="lrTb"/>
            <w:noWrap w:val="false"/>
          </w:tcPr>
          <w:p>
            <w:pPr>
              <w:jc w:val="center"/>
              <w:spacing w:line="360" w:lineRule="auto"/>
              <w:widowControl/>
              <w:rPr>
                <w:rFonts w:hAnsi="宋体"/>
                <w:color w:val="auto"/>
                <w:szCs w:val="21"/>
                <w:highlight w:val="none"/>
              </w:rPr>
            </w:pPr>
            <w:r>
              <w:rPr>
                <w:rFonts w:hint="eastAsia"/>
                <w:color w:val="auto"/>
                <w:szCs w:val="21"/>
                <w:highlight w:val="none"/>
              </w:rPr>
              <w:t xml:space="preserve">5000万元（不含）以下</w:t>
            </w:r>
            <w:r>
              <w:rPr>
                <w:rFonts w:hint="eastAsia" w:hAnsi="宋体"/>
                <w:color w:val="auto"/>
                <w:szCs w:val="21"/>
                <w:highlight w:val="none"/>
              </w:rPr>
              <w:t xml:space="preserve">__个</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vMerge w:val="continue"/>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c>
          <w:tcPr>
            <w:tcW w:w="4044" w:type="dxa"/>
            <w:textDirection w:val="lrTb"/>
            <w:noWrap w:val="false"/>
          </w:tcPr>
          <w:p>
            <w:pPr>
              <w:jc w:val="center"/>
              <w:spacing w:line="360" w:lineRule="auto"/>
              <w:widowControl/>
              <w:rPr>
                <w:rFonts w:hAnsi="宋体"/>
                <w:color w:val="auto"/>
                <w:szCs w:val="21"/>
                <w:highlight w:val="none"/>
              </w:rPr>
            </w:pPr>
            <w:r>
              <w:rPr>
                <w:rFonts w:hint="eastAsia"/>
                <w:color w:val="auto"/>
                <w:szCs w:val="21"/>
                <w:highlight w:val="none"/>
              </w:rPr>
              <w:t xml:space="preserve">5000万元（含）到</w:t>
            </w:r>
            <w:r>
              <w:rPr>
                <w:color w:val="auto"/>
                <w:szCs w:val="21"/>
                <w:highlight w:val="none"/>
              </w:rPr>
              <w:t xml:space="preserve">1</w:t>
            </w:r>
            <w:r>
              <w:rPr>
                <w:rFonts w:hint="eastAsia"/>
                <w:color w:val="auto"/>
                <w:szCs w:val="21"/>
                <w:highlight w:val="none"/>
              </w:rPr>
              <w:t xml:space="preserve">亿元（不含）的</w:t>
            </w:r>
            <w:r>
              <w:rPr>
                <w:rFonts w:hint="eastAsia" w:hAnsi="宋体"/>
                <w:color w:val="auto"/>
                <w:szCs w:val="21"/>
                <w:highlight w:val="none"/>
              </w:rPr>
              <w:t xml:space="preserve">__个</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vMerge w:val="continue"/>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c>
          <w:tcPr>
            <w:tcW w:w="4044" w:type="dxa"/>
            <w:textDirection w:val="lrTb"/>
            <w:noWrap w:val="false"/>
          </w:tcPr>
          <w:p>
            <w:pPr>
              <w:jc w:val="center"/>
              <w:spacing w:line="360" w:lineRule="auto"/>
              <w:widowControl/>
              <w:rPr>
                <w:rFonts w:hAnsi="宋体"/>
                <w:color w:val="auto"/>
                <w:szCs w:val="21"/>
                <w:highlight w:val="none"/>
              </w:rPr>
            </w:pPr>
            <w:r>
              <w:rPr>
                <w:rFonts w:hint="eastAsia"/>
                <w:color w:val="auto"/>
                <w:szCs w:val="21"/>
                <w:highlight w:val="none"/>
              </w:rPr>
              <w:t xml:space="preserve">1亿元（含）到2亿元（不含）的</w:t>
            </w:r>
            <w:r>
              <w:rPr>
                <w:rFonts w:hint="eastAsia" w:hAnsi="宋体"/>
                <w:color w:val="auto"/>
                <w:szCs w:val="21"/>
                <w:highlight w:val="none"/>
              </w:rPr>
              <w:t xml:space="preserve">__个</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vMerge w:val="continue"/>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c>
          <w:tcPr>
            <w:tcW w:w="4044" w:type="dxa"/>
            <w:textDirection w:val="lrTb"/>
            <w:noWrap w:val="false"/>
          </w:tcPr>
          <w:p>
            <w:pPr>
              <w:jc w:val="center"/>
              <w:spacing w:line="360" w:lineRule="auto"/>
              <w:widowControl/>
              <w:rPr>
                <w:rFonts w:hAnsi="宋体"/>
                <w:color w:val="auto"/>
                <w:szCs w:val="21"/>
                <w:highlight w:val="none"/>
              </w:rPr>
            </w:pPr>
            <w:r>
              <w:rPr>
                <w:rFonts w:hint="eastAsia"/>
                <w:color w:val="auto"/>
                <w:szCs w:val="21"/>
                <w:highlight w:val="none"/>
              </w:rPr>
              <w:t xml:space="preserve">2亿元（含）以上的</w:t>
            </w:r>
            <w:r>
              <w:rPr>
                <w:rFonts w:hint="eastAsia" w:hAnsi="宋体"/>
                <w:color w:val="auto"/>
                <w:szCs w:val="21"/>
                <w:highlight w:val="none"/>
              </w:rPr>
              <w:t xml:space="preserve">__个</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r>
        <w:trPr>
          <w:trHeight w:val="450"/>
        </w:trPr>
        <w:tc>
          <w:tcPr>
            <w:tcW w:w="3297" w:type="dxa"/>
            <w:vAlign w:val="center"/>
            <w:textDirection w:val="lrTb"/>
            <w:noWrap w:val="false"/>
          </w:tcPr>
          <w:p>
            <w:pPr>
              <w:jc w:val="left"/>
              <w:spacing w:line="360" w:lineRule="auto"/>
              <w:widowControl/>
              <w:rPr>
                <w:rFonts w:hAnsi="宋体"/>
                <w:color w:val="auto"/>
                <w:szCs w:val="21"/>
                <w:highlight w:val="none"/>
              </w:rPr>
            </w:pPr>
            <w:r>
              <w:rPr>
                <w:rFonts w:hint="eastAsia" w:hAnsi="宋体"/>
                <w:color w:val="auto"/>
                <w:szCs w:val="21"/>
                <w:highlight w:val="none"/>
              </w:rPr>
              <w:t xml:space="preserve">5、拟选派人员咨询服务年限满10年的</w:t>
            </w:r>
            <w:r/>
          </w:p>
        </w:tc>
        <w:tc>
          <w:tcPr>
            <w:tcW w:w="4044" w:type="dxa"/>
            <w:textDirection w:val="lrTb"/>
            <w:noWrap w:val="false"/>
          </w:tcPr>
          <w:p>
            <w:pPr>
              <w:jc w:val="center"/>
              <w:spacing w:line="360" w:lineRule="auto"/>
              <w:widowControl/>
              <w:rPr>
                <w:rFonts w:hAnsi="宋体"/>
                <w:color w:val="auto"/>
                <w:szCs w:val="21"/>
                <w:highlight w:val="none"/>
              </w:rPr>
            </w:pPr>
            <w:r>
              <w:rPr>
                <w:rFonts w:hint="eastAsia" w:hAnsi="宋体"/>
                <w:color w:val="auto"/>
                <w:szCs w:val="21"/>
                <w:highlight w:val="none"/>
              </w:rPr>
              <w:t xml:space="preserve">（填写，满10年的__人）</w:t>
            </w:r>
            <w:r/>
          </w:p>
        </w:tc>
        <w:tc>
          <w:tcPr>
            <w:tcW w:w="1200" w:type="dxa"/>
            <w:textDirection w:val="lrTb"/>
            <w:noWrap w:val="false"/>
          </w:tcPr>
          <w:p>
            <w:pPr>
              <w:jc w:val="left"/>
              <w:spacing w:line="360" w:lineRule="auto"/>
              <w:widowControl/>
              <w:rPr>
                <w:rFonts w:hAnsi="宋体"/>
                <w:color w:val="auto"/>
                <w:szCs w:val="21"/>
                <w:highlight w:val="none"/>
              </w:rPr>
            </w:pPr>
            <w:r>
              <w:rPr>
                <w:rFonts w:hAnsi="宋体"/>
                <w:color w:val="auto"/>
                <w:szCs w:val="21"/>
                <w:highlight w:val="none"/>
              </w:rPr>
            </w:r>
            <w:r/>
          </w:p>
        </w:tc>
      </w:tr>
    </w:tbl>
    <w:p>
      <w:pPr>
        <w:ind w:firstLine="420"/>
        <w:jc w:val="left"/>
        <w:spacing w:line="440" w:lineRule="exact"/>
        <w:widowControl/>
        <w:rPr>
          <w:color w:val="auto"/>
          <w:szCs w:val="21"/>
          <w:highlight w:val="none"/>
        </w:rPr>
      </w:pPr>
      <w:r>
        <w:rPr>
          <w:rFonts w:hint="eastAsia" w:hAnsi="宋体"/>
          <w:color w:val="auto"/>
          <w:szCs w:val="21"/>
          <w:highlight w:val="none"/>
        </w:rPr>
        <w:t xml:space="preserve">各投标供应商必须填写该表格，若各投标单位在填写以上内容时表格不够可按以上顺序自制表格填写。若不填写该表格或填写内容不真实，则评委会有权取消其得标资格，可自行根据评分内容对上述表格进行微调或修正，如有与评分办法中相冲突的地方，以评分办法为准，投标人自行调整本表格。</w:t>
      </w:r>
      <w:r/>
    </w:p>
    <w:p>
      <w:pPr>
        <w:pStyle w:val="736"/>
        <w:rPr>
          <w:rFonts w:ascii="宋体" w:hAnsi="Courier New"/>
          <w:b/>
          <w:color w:val="auto"/>
          <w:szCs w:val="21"/>
          <w:highlight w:val="none"/>
        </w:rPr>
      </w:pPr>
      <w:r>
        <w:rPr>
          <w:rFonts w:ascii="宋体" w:hAnsi="Courier New"/>
          <w:b/>
          <w:color w:val="auto"/>
          <w:szCs w:val="21"/>
          <w:highlight w:val="none"/>
        </w:rPr>
        <w:br w:type="page" w:clear="all"/>
      </w:r>
      <w:r/>
    </w:p>
    <w:p>
      <w:pPr>
        <w:jc w:val="left"/>
        <w:spacing w:line="360" w:lineRule="auto"/>
        <w:widowControl/>
        <w:tabs>
          <w:tab w:val="left" w:pos="1320" w:leader="none"/>
        </w:tabs>
        <w:rPr>
          <w:rFonts w:hAnsi="宋体"/>
          <w:b/>
          <w:color w:val="auto"/>
          <w:szCs w:val="21"/>
          <w:highlight w:val="none"/>
        </w:rPr>
      </w:pPr>
      <w:r>
        <w:rPr>
          <w:rFonts w:hAnsi="宋体"/>
          <w:b/>
          <w:color w:val="auto"/>
          <w:szCs w:val="21"/>
          <w:highlight w:val="none"/>
        </w:rPr>
        <w:t xml:space="preserve">格式</w:t>
      </w:r>
      <w:r>
        <w:rPr>
          <w:rFonts w:hint="eastAsia" w:hAnsi="宋体"/>
          <w:b/>
          <w:color w:val="auto"/>
          <w:szCs w:val="21"/>
          <w:highlight w:val="none"/>
        </w:rPr>
        <w:t xml:space="preserve">5</w:t>
      </w:r>
      <w:r>
        <w:rPr>
          <w:rFonts w:hAnsi="宋体"/>
          <w:b/>
          <w:color w:val="auto"/>
          <w:szCs w:val="21"/>
          <w:highlight w:val="none"/>
        </w:rPr>
        <w:t xml:space="preserve">、</w:t>
      </w:r>
      <w:r>
        <w:rPr>
          <w:rFonts w:hint="eastAsia" w:hAnsi="宋体"/>
          <w:b/>
          <w:color w:val="auto"/>
          <w:szCs w:val="21"/>
          <w:highlight w:val="none"/>
        </w:rPr>
        <w:t xml:space="preserve">服务方案</w:t>
      </w:r>
      <w:r/>
    </w:p>
    <w:p>
      <w:pPr>
        <w:jc w:val="center"/>
        <w:spacing w:line="360" w:lineRule="auto"/>
        <w:widowControl/>
        <w:tabs>
          <w:tab w:val="left" w:pos="1320" w:leader="none"/>
        </w:tabs>
        <w:rPr>
          <w:rFonts w:ascii="黑体" w:eastAsia="黑体"/>
          <w:b/>
          <w:color w:val="auto"/>
          <w:sz w:val="36"/>
          <w:szCs w:val="36"/>
          <w:highlight w:val="none"/>
        </w:rPr>
      </w:pPr>
      <w:r>
        <w:rPr>
          <w:rFonts w:hint="eastAsia" w:ascii="黑体" w:eastAsia="黑体"/>
          <w:b/>
          <w:color w:val="auto"/>
          <w:sz w:val="36"/>
          <w:szCs w:val="36"/>
          <w:highlight w:val="none"/>
        </w:rPr>
        <w:t xml:space="preserve">服务方案</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textDirection w:val="lrTb"/>
            <w:noWrap w:val="false"/>
          </w:tcPr>
          <w:p>
            <w:pPr>
              <w:jc w:val="left"/>
              <w:spacing w:line="360" w:lineRule="auto"/>
              <w:widowControl/>
              <w:tabs>
                <w:tab w:val="left" w:pos="1320" w:leader="none"/>
              </w:tabs>
              <w:rPr>
                <w:color w:val="auto"/>
                <w:szCs w:val="21"/>
                <w:highlight w:val="none"/>
              </w:rPr>
            </w:pPr>
            <w:r>
              <w:rPr>
                <w:rFonts w:hint="eastAsia"/>
                <w:color w:val="auto"/>
                <w:szCs w:val="21"/>
                <w:highlight w:val="none"/>
              </w:rPr>
              <w:t xml:space="preserve">提示：</w:t>
            </w:r>
            <w:r/>
          </w:p>
          <w:p>
            <w:pPr>
              <w:jc w:val="left"/>
              <w:spacing w:line="360" w:lineRule="auto"/>
              <w:rPr>
                <w:b/>
                <w:bCs/>
                <w:color w:val="auto"/>
                <w:szCs w:val="21"/>
                <w:highlight w:val="none"/>
              </w:rPr>
            </w:pPr>
            <w:r>
              <w:rPr>
                <w:rFonts w:hint="eastAsia"/>
                <w:color w:val="auto"/>
                <w:szCs w:val="21"/>
                <w:highlight w:val="none"/>
              </w:rPr>
              <w:t xml:space="preserve">1、投标人应针对本次采购项目特点编写公司中标后拟采取的详细的组织计划，包括人员安排、时间安排、设备机具的安排等，以及遇重大、紧急事项的应急措施等。</w:t>
            </w:r>
            <w:r/>
          </w:p>
          <w:p>
            <w:pPr>
              <w:jc w:val="left"/>
              <w:spacing w:line="360" w:lineRule="auto"/>
              <w:widowControl/>
              <w:rPr>
                <w:color w:val="auto"/>
                <w:szCs w:val="21"/>
                <w:highlight w:val="none"/>
              </w:rPr>
            </w:pPr>
            <w:r>
              <w:rPr>
                <w:rFonts w:hint="eastAsia"/>
                <w:color w:val="auto"/>
                <w:szCs w:val="21"/>
                <w:highlight w:val="none"/>
              </w:rPr>
              <w:t xml:space="preserve">2、投标人可根据自身情况编写，本页不够可另加页附后。</w:t>
            </w:r>
            <w:r/>
          </w:p>
        </w:tc>
      </w:tr>
      <w:tr>
        <w:trPr>
          <w:trHeight w:val="9836"/>
        </w:trPr>
        <w:tc>
          <w:tcPr>
            <w:tcW w:w="8681" w:type="dxa"/>
            <w:textDirection w:val="lrTb"/>
            <w:noWrap w:val="false"/>
          </w:tcPr>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jc w:val="left"/>
              <w:spacing w:line="360" w:lineRule="auto"/>
              <w:widowControl/>
              <w:tabs>
                <w:tab w:val="left" w:pos="1320" w:leader="none"/>
              </w:tabs>
              <w:rPr>
                <w:color w:val="auto"/>
                <w:szCs w:val="21"/>
                <w:highlight w:val="none"/>
              </w:rPr>
            </w:pPr>
            <w:r>
              <w:rPr>
                <w:color w:val="auto"/>
                <w:szCs w:val="21"/>
                <w:highlight w:val="none"/>
              </w:rPr>
            </w:r>
            <w:r/>
          </w:p>
          <w:p>
            <w:pPr>
              <w:ind w:firstLine="210"/>
              <w:jc w:val="left"/>
              <w:spacing w:line="360" w:lineRule="auto"/>
              <w:widowControl/>
              <w:tabs>
                <w:tab w:val="left" w:pos="1320" w:leader="none"/>
              </w:tabs>
              <w:rPr>
                <w:color w:val="auto"/>
                <w:szCs w:val="21"/>
                <w:highlight w:val="none"/>
              </w:rPr>
            </w:pPr>
            <w:r>
              <w:rPr>
                <w:rFonts w:hint="eastAsia"/>
                <w:color w:val="auto"/>
                <w:szCs w:val="21"/>
                <w:highlight w:val="none"/>
              </w:rPr>
              <w:t xml:space="preserve">                                      投标人</w:t>
            </w:r>
            <w:r>
              <w:rPr>
                <w:color w:val="auto"/>
                <w:szCs w:val="21"/>
                <w:highlight w:val="none"/>
              </w:rPr>
              <w:t xml:space="preserve">（</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p>
        </w:tc>
      </w:tr>
    </w:tbl>
    <w:p>
      <w:pPr>
        <w:rPr>
          <w:color w:val="auto"/>
          <w:highlight w:val="none"/>
        </w:rPr>
      </w:pPr>
      <w:r>
        <w:rPr>
          <w:color w:val="auto"/>
          <w:highlight w:val="none"/>
        </w:rPr>
      </w:r>
      <w:r/>
    </w:p>
    <w:p>
      <w:pPr>
        <w:jc w:val="left"/>
        <w:spacing w:line="536" w:lineRule="atLeast"/>
        <w:widowControl/>
        <w:rPr>
          <w:rFonts w:hAnsi="宋体"/>
          <w:color w:val="auto"/>
          <w:szCs w:val="21"/>
          <w:highlight w:val="none"/>
        </w:rPr>
      </w:pPr>
      <w:r>
        <w:rPr>
          <w:rFonts w:hAnsi="宋体"/>
          <w:color w:val="auto"/>
          <w:szCs w:val="21"/>
          <w:highlight w:val="none"/>
        </w:rPr>
      </w:r>
      <w:r/>
    </w:p>
    <w:p>
      <w:pPr>
        <w:rPr>
          <w:b/>
          <w:bCs/>
          <w:color w:val="auto"/>
          <w:highlight w:val="none"/>
        </w:rPr>
      </w:pPr>
      <w:r>
        <w:rPr>
          <w:rFonts w:hAnsi="宋体"/>
          <w:b/>
          <w:color w:val="auto"/>
          <w:szCs w:val="21"/>
          <w:highlight w:val="none"/>
        </w:rPr>
        <w:br w:type="page" w:clear="all"/>
      </w:r>
      <w:r/>
    </w:p>
    <w:p>
      <w:pPr>
        <w:spacing w:line="400" w:lineRule="exact"/>
        <w:rPr>
          <w:rFonts w:hAnsi="宋体"/>
          <w:b/>
          <w:bCs/>
          <w:color w:val="auto"/>
          <w:highlight w:val="none"/>
        </w:rPr>
      </w:pPr>
      <w:r>
        <w:rPr>
          <w:rFonts w:hAnsi="宋体"/>
          <w:b/>
          <w:color w:val="auto"/>
          <w:szCs w:val="21"/>
          <w:highlight w:val="none"/>
        </w:rPr>
        <w:t xml:space="preserve">格式</w:t>
      </w:r>
      <w:r>
        <w:rPr>
          <w:rFonts w:hint="eastAsia" w:ascii="宋体" w:cs="宋体"/>
          <w:b/>
          <w:bCs/>
          <w:color w:val="auto"/>
          <w:szCs w:val="21"/>
          <w:highlight w:val="none"/>
        </w:rPr>
        <w:t xml:space="preserve">6</w:t>
      </w:r>
      <w:r>
        <w:rPr>
          <w:rFonts w:hint="eastAsia" w:ascii="宋体" w:hAnsi="Courier New"/>
          <w:b/>
          <w:color w:val="auto"/>
          <w:szCs w:val="21"/>
          <w:highlight w:val="none"/>
        </w:rPr>
        <w:t xml:space="preserve">、</w:t>
      </w:r>
      <w:r>
        <w:rPr>
          <w:rFonts w:hAnsi="宋体"/>
          <w:b/>
          <w:color w:val="auto"/>
          <w:szCs w:val="21"/>
          <w:highlight w:val="none"/>
        </w:rPr>
        <w:t xml:space="preserve">资格证明文件</w:t>
      </w:r>
      <w:r/>
    </w:p>
    <w:p>
      <w:pPr>
        <w:jc w:val="left"/>
        <w:rPr>
          <w:b/>
          <w:color w:val="auto"/>
          <w:szCs w:val="21"/>
          <w:highlight w:val="none"/>
        </w:rPr>
      </w:pPr>
      <w:r>
        <w:rPr>
          <w:b/>
          <w:color w:val="auto"/>
          <w:szCs w:val="21"/>
          <w:highlight w:val="none"/>
        </w:rPr>
      </w:r>
      <w:r/>
    </w:p>
    <w:p>
      <w:pPr>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jc w:val="left"/>
        <w:rPr>
          <w:b/>
          <w:color w:val="auto"/>
          <w:szCs w:val="21"/>
          <w:highlight w:val="none"/>
        </w:rPr>
      </w:pPr>
      <w:r>
        <w:rPr>
          <w:b/>
          <w:color w:val="auto"/>
          <w:szCs w:val="21"/>
          <w:highlight w:val="none"/>
        </w:rPr>
      </w:r>
      <w:r/>
    </w:p>
    <w:p>
      <w:pPr>
        <w:jc w:val="left"/>
        <w:rPr>
          <w:b/>
          <w:color w:val="auto"/>
          <w:sz w:val="24"/>
          <w:szCs w:val="20"/>
          <w:highlight w:val="none"/>
        </w:rPr>
      </w:pPr>
      <w:r>
        <w:rPr>
          <w:b/>
          <w:color w:val="auto"/>
          <w:sz w:val="24"/>
          <w:szCs w:val="20"/>
          <w:highlight w:val="none"/>
        </w:rPr>
      </w:r>
      <w:r/>
    </w:p>
    <w:p>
      <w:pPr>
        <w:jc w:val="left"/>
        <w:rPr>
          <w:color w:val="auto"/>
          <w:sz w:val="24"/>
          <w:szCs w:val="20"/>
          <w:highlight w:val="none"/>
        </w:rPr>
      </w:pPr>
      <w:r>
        <w:rPr>
          <w:color w:val="auto"/>
          <w:sz w:val="24"/>
          <w:szCs w:val="20"/>
          <w:highlight w:val="none"/>
        </w:rPr>
      </w:r>
      <w:r/>
    </w:p>
    <w:p>
      <w:pPr>
        <w:ind w:firstLine="420"/>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ind w:firstLine="420"/>
        <w:jc w:val="center"/>
        <w:rPr>
          <w:color w:val="auto"/>
          <w:sz w:val="24"/>
          <w:szCs w:val="20"/>
          <w:highlight w:val="none"/>
        </w:rPr>
      </w:pPr>
      <w:r>
        <w:rPr>
          <w:color w:val="auto"/>
          <w:sz w:val="24"/>
          <w:szCs w:val="20"/>
          <w:highlight w:val="none"/>
        </w:rPr>
      </w:r>
      <w:r/>
    </w:p>
    <w:p>
      <w:pPr>
        <w:ind w:firstLine="420"/>
        <w:jc w:val="center"/>
        <w:rPr>
          <w:color w:val="auto"/>
          <w:sz w:val="24"/>
          <w:szCs w:val="20"/>
          <w:highlight w:val="none"/>
        </w:rPr>
      </w:pPr>
      <w:r>
        <w:rPr>
          <w:color w:val="auto"/>
          <w:sz w:val="24"/>
          <w:szCs w:val="20"/>
          <w:highlight w:val="none"/>
        </w:rPr>
      </w:r>
      <w:r/>
    </w:p>
    <w:p>
      <w:pPr>
        <w:spacing w:line="400" w:lineRule="exact"/>
        <w:rPr>
          <w:b/>
          <w:bCs/>
          <w:color w:val="auto"/>
          <w:szCs w:val="21"/>
          <w:highlight w:val="none"/>
        </w:rPr>
      </w:pPr>
      <w:r>
        <w:rPr>
          <w:b/>
          <w:bCs/>
          <w:color w:val="auto"/>
          <w:szCs w:val="21"/>
          <w:highlight w:val="none"/>
          <w:u w:val="single"/>
        </w:rPr>
        <w:t xml:space="preserve">苏州市卫康招投标咨询服务有限公司</w:t>
      </w:r>
      <w:r>
        <w:rPr>
          <w:b/>
          <w:bCs/>
          <w:color w:val="auto"/>
          <w:szCs w:val="21"/>
          <w:highlight w:val="none"/>
        </w:rPr>
        <w:t xml:space="preserve">：</w:t>
      </w:r>
      <w:r/>
    </w:p>
    <w:p>
      <w:pPr>
        <w:ind w:firstLine="420"/>
        <w:spacing w:line="400" w:lineRule="exact"/>
        <w:rPr>
          <w:color w:val="auto"/>
          <w:szCs w:val="21"/>
          <w:highlight w:val="none"/>
        </w:rPr>
      </w:pPr>
      <w:r>
        <w:rPr>
          <w:color w:val="auto"/>
          <w:szCs w:val="21"/>
          <w:highlight w:val="none"/>
        </w:rPr>
      </w:r>
      <w:r/>
    </w:p>
    <w:p>
      <w:pPr>
        <w:ind w:firstLine="420"/>
        <w:jc w:val="left"/>
        <w:spacing w:line="480" w:lineRule="auto"/>
        <w:widowControl/>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w:t>
      </w:r>
      <w:r>
        <w:rPr>
          <w:rFonts w:hint="eastAsia"/>
          <w:color w:val="auto"/>
          <w:szCs w:val="21"/>
          <w:highlight w:val="none"/>
          <w:lang w:val="zh-CN"/>
        </w:rPr>
        <w:t xml:space="preserve">采购</w:t>
      </w:r>
      <w:r>
        <w:rPr>
          <w:color w:val="auto"/>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jc w:val="left"/>
        <w:spacing w:line="480" w:lineRule="auto"/>
        <w:widowControl/>
        <w:rPr>
          <w:color w:val="auto"/>
          <w:szCs w:val="21"/>
          <w:highlight w:val="none"/>
        </w:rPr>
      </w:pPr>
      <w:r>
        <w:rPr>
          <w:color w:val="auto"/>
          <w:szCs w:val="21"/>
          <w:highlight w:val="none"/>
        </w:rPr>
      </w:r>
      <w:r/>
    </w:p>
    <w:p>
      <w:pPr>
        <w:ind w:firstLine="425"/>
        <w:jc w:val="left"/>
        <w:spacing w:line="480" w:lineRule="auto"/>
        <w:widowControl/>
        <w:rPr>
          <w:color w:val="auto"/>
          <w:szCs w:val="21"/>
          <w:highlight w:val="none"/>
        </w:rPr>
      </w:pPr>
      <w:r>
        <w:rPr>
          <w:color w:val="auto"/>
          <w:szCs w:val="21"/>
          <w:highlight w:val="none"/>
        </w:rPr>
      </w:r>
      <w:r/>
    </w:p>
    <w:p>
      <w:pPr>
        <w:ind w:firstLine="425"/>
        <w:jc w:val="left"/>
        <w:spacing w:line="480" w:lineRule="auto"/>
        <w:widowControl/>
        <w:rPr>
          <w:color w:val="auto"/>
          <w:szCs w:val="21"/>
          <w:highlight w:val="none"/>
        </w:rPr>
      </w:pPr>
      <w:r>
        <w:rPr>
          <w:color w:val="auto"/>
          <w:szCs w:val="21"/>
          <w:highlight w:val="none"/>
        </w:rPr>
      </w:r>
      <w:r/>
    </w:p>
    <w:p>
      <w:pPr>
        <w:ind w:firstLine="4200"/>
        <w:jc w:val="left"/>
        <w:spacing w:line="480" w:lineRule="auto"/>
        <w:widowControl/>
        <w:rPr>
          <w:color w:val="auto"/>
          <w:szCs w:val="21"/>
          <w:highlight w:val="none"/>
        </w:rPr>
      </w:pPr>
      <w:r>
        <w:rPr>
          <w:color w:val="auto"/>
          <w:szCs w:val="21"/>
          <w:highlight w:val="none"/>
          <w:lang w:val="zh-CN"/>
        </w:rPr>
        <w:t xml:space="preserve">投标人法定代表人签字：</w:t>
      </w:r>
      <w:r/>
    </w:p>
    <w:p>
      <w:pPr>
        <w:ind w:left="1487" w:firstLine="2520"/>
        <w:jc w:val="left"/>
        <w:spacing w:line="480" w:lineRule="auto"/>
        <w:widowControl/>
        <w:rPr>
          <w:color w:val="auto"/>
          <w:szCs w:val="21"/>
          <w:highlight w:val="none"/>
        </w:rPr>
      </w:pPr>
      <w:r>
        <w:rPr>
          <w:color w:val="auto"/>
          <w:szCs w:val="21"/>
          <w:highlight w:val="none"/>
          <w:lang w:val="zh-CN"/>
        </w:rPr>
        <w:t xml:space="preserve">投标人：（公章）</w:t>
      </w:r>
      <w:r/>
    </w:p>
    <w:p>
      <w:pPr>
        <w:ind w:left="1487" w:firstLine="2520"/>
        <w:jc w:val="left"/>
        <w:spacing w:line="480" w:lineRule="auto"/>
        <w:rPr>
          <w:color w:val="auto"/>
          <w:szCs w:val="21"/>
          <w:highlight w:val="none"/>
        </w:rPr>
      </w:pPr>
      <w:r>
        <w:rPr>
          <w:rFonts w:hAnsi="宋体"/>
          <w:color w:val="auto"/>
          <w:szCs w:val="21"/>
          <w:highlight w:val="none"/>
          <w:lang w:val="zh-CN"/>
        </w:rPr>
        <w:t xml:space="preserve">日</w:t>
      </w:r>
      <w:r>
        <w:rPr>
          <w:color w:val="auto"/>
          <w:szCs w:val="21"/>
          <w:highlight w:val="none"/>
          <w:lang w:val="zh-CN"/>
        </w:rPr>
        <w:t xml:space="preserve">  </w:t>
      </w:r>
      <w:r>
        <w:rPr>
          <w:rFonts w:hAnsi="宋体"/>
          <w:color w:val="auto"/>
          <w:szCs w:val="21"/>
          <w:highlight w:val="none"/>
          <w:lang w:val="zh-CN"/>
        </w:rPr>
        <w:t xml:space="preserve">期：</w:t>
      </w:r>
      <w:r>
        <w:rPr>
          <w:color w:val="auto"/>
          <w:szCs w:val="21"/>
          <w:highlight w:val="none"/>
          <w:lang w:val="zh-CN"/>
        </w:rPr>
        <w:t xml:space="preserve">      </w:t>
      </w:r>
      <w:r>
        <w:rPr>
          <w:rFonts w:hint="eastAsia"/>
          <w:color w:val="auto"/>
          <w:szCs w:val="21"/>
          <w:highlight w:val="none"/>
          <w:lang w:val="zh-CN"/>
        </w:rPr>
        <w:t xml:space="preserve">  </w:t>
      </w:r>
      <w:r>
        <w:rPr>
          <w:color w:val="auto"/>
          <w:szCs w:val="21"/>
          <w:highlight w:val="none"/>
          <w:lang w:val="zh-CN"/>
        </w:rPr>
        <w:t xml:space="preserve">  </w:t>
      </w:r>
      <w:r>
        <w:rPr>
          <w:rFonts w:hAnsi="宋体"/>
          <w:color w:val="auto"/>
          <w:szCs w:val="21"/>
          <w:highlight w:val="none"/>
          <w:lang w:val="zh-CN"/>
        </w:rPr>
        <w:t xml:space="preserve">年</w:t>
      </w:r>
      <w:r>
        <w:rPr>
          <w:rFonts w:hint="eastAsia" w:hAnsi="宋体"/>
          <w:color w:val="auto"/>
          <w:szCs w:val="21"/>
          <w:highlight w:val="none"/>
          <w:lang w:val="zh-CN"/>
        </w:rPr>
        <w:t xml:space="preserve">     </w:t>
      </w:r>
      <w:r>
        <w:rPr>
          <w:rFonts w:hAnsi="宋体"/>
          <w:color w:val="auto"/>
          <w:szCs w:val="21"/>
          <w:highlight w:val="none"/>
          <w:lang w:val="zh-CN"/>
        </w:rPr>
        <w:t xml:space="preserve">月</w:t>
      </w:r>
      <w:r>
        <w:rPr>
          <w:color w:val="auto"/>
          <w:szCs w:val="21"/>
          <w:highlight w:val="none"/>
          <w:lang w:val="zh-CN"/>
        </w:rPr>
        <w:t xml:space="preserve"> </w:t>
      </w:r>
      <w:r>
        <w:rPr>
          <w:rFonts w:hint="eastAsia"/>
          <w:color w:val="auto"/>
          <w:szCs w:val="21"/>
          <w:highlight w:val="none"/>
          <w:lang w:val="zh-CN"/>
        </w:rPr>
        <w:t xml:space="preserve">    </w:t>
      </w:r>
      <w:r>
        <w:rPr>
          <w:rFonts w:hAnsi="宋体"/>
          <w:color w:val="auto"/>
          <w:szCs w:val="21"/>
          <w:highlight w:val="none"/>
          <w:lang w:val="zh-CN"/>
        </w:rPr>
        <w:t xml:space="preserve">日</w:t>
      </w:r>
      <w:r/>
    </w:p>
    <w:p>
      <w:pPr>
        <w:jc w:val="left"/>
        <w:spacing w:line="400" w:lineRule="exact"/>
        <w:rPr>
          <w:color w:val="auto"/>
          <w:szCs w:val="21"/>
          <w:highlight w:val="none"/>
        </w:rPr>
      </w:pPr>
      <w:r>
        <w:rPr>
          <w:color w:val="auto"/>
          <w:szCs w:val="21"/>
          <w:highlight w:val="none"/>
        </w:rPr>
      </w:r>
      <w:r/>
    </w:p>
    <w:p>
      <w:pPr>
        <w:jc w:val="left"/>
        <w:rPr>
          <w:color w:val="auto"/>
          <w:sz w:val="24"/>
          <w:szCs w:val="20"/>
          <w:highlight w:val="none"/>
        </w:rPr>
      </w:pPr>
      <w:r>
        <w:rPr>
          <w:color w:val="auto"/>
          <w:sz w:val="24"/>
          <w:szCs w:val="20"/>
          <w:highlight w:val="none"/>
        </w:rPr>
      </w:r>
      <w:r/>
    </w:p>
    <w:p>
      <w:pPr>
        <w:jc w:val="left"/>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b/>
          <w:color w:val="auto"/>
          <w:szCs w:val="21"/>
          <w:highlight w:val="none"/>
        </w:rPr>
        <w:t xml:space="preserve">投标单位情况表</w:t>
      </w:r>
      <w:r/>
    </w:p>
    <w:p>
      <w:pPr>
        <w:ind w:firstLine="420"/>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投标单位情况表</w:t>
      </w:r>
      <w:r/>
    </w:p>
    <w:p>
      <w:pPr>
        <w:jc w:val="left"/>
        <w:spacing w:line="400" w:lineRule="exact"/>
        <w:widowControl/>
        <w:rPr>
          <w:color w:val="auto"/>
          <w:szCs w:val="21"/>
          <w:highlight w:val="none"/>
        </w:rPr>
      </w:pPr>
      <w:r>
        <w:rPr>
          <w:rFonts w:hint="eastAsia"/>
          <w:color w:val="auto"/>
          <w:szCs w:val="21"/>
          <w:highlight w:val="none"/>
        </w:rPr>
        <w:t xml:space="preserve">采购编号</w:t>
      </w:r>
      <w:r>
        <w:rPr>
          <w:color w:val="auto"/>
          <w:szCs w:val="21"/>
          <w:highlight w:val="none"/>
        </w:rPr>
        <w:t xml:space="preserve">：</w:t>
      </w:r>
      <w:r>
        <w:rPr>
          <w:color w:val="auto"/>
          <w:szCs w:val="21"/>
          <w:highlight w:val="none"/>
          <w:u w:val="single"/>
        </w:rPr>
        <w:t xml:space="preserve">                       </w:t>
      </w:r>
      <w:r/>
    </w:p>
    <w:tbl>
      <w:tblPr>
        <w:tblStyle w:val="735"/>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41"/>
        <w:gridCol w:w="1447"/>
        <w:gridCol w:w="1792"/>
        <w:gridCol w:w="2659"/>
      </w:tblGrid>
      <w:tr>
        <w:trPr>
          <w:cantSplit/>
          <w:trHeight w:val="20"/>
        </w:trPr>
        <w:tc>
          <w:tcPr>
            <w:tcW w:w="2641" w:type="dxa"/>
            <w:vAlign w:val="center"/>
            <w:textDirection w:val="lrTb"/>
            <w:noWrap w:val="false"/>
          </w:tcPr>
          <w:p>
            <w:pPr>
              <w:spacing w:line="360" w:lineRule="auto"/>
              <w:rPr>
                <w:color w:val="auto"/>
                <w:szCs w:val="21"/>
                <w:highlight w:val="none"/>
              </w:rPr>
            </w:pPr>
            <w:r>
              <w:rPr>
                <w:rFonts w:hAnsi="宋体"/>
                <w:color w:val="auto"/>
                <w:szCs w:val="21"/>
                <w:highlight w:val="none"/>
              </w:rPr>
              <w:t xml:space="preserve">法定代表人</w:t>
            </w:r>
            <w:r>
              <w:rPr>
                <w:rFonts w:hint="eastAsia" w:hAnsi="宋体"/>
                <w:color w:val="auto"/>
                <w:szCs w:val="21"/>
                <w:highlight w:val="none"/>
              </w:rPr>
              <w:t xml:space="preserve">（负责人）</w:t>
            </w:r>
            <w:r/>
          </w:p>
        </w:tc>
        <w:tc>
          <w:tcPr>
            <w:tcW w:w="1447" w:type="dxa"/>
            <w:vAlign w:val="center"/>
            <w:textDirection w:val="lrTb"/>
            <w:noWrap w:val="false"/>
          </w:tcPr>
          <w:p>
            <w:pPr>
              <w:spacing w:line="360" w:lineRule="auto"/>
              <w:rPr>
                <w:color w:val="auto"/>
                <w:szCs w:val="21"/>
                <w:highlight w:val="none"/>
              </w:rPr>
            </w:pPr>
            <w:r>
              <w:rPr>
                <w:color w:val="auto"/>
                <w:szCs w:val="21"/>
                <w:highlight w:val="none"/>
              </w:rPr>
            </w:r>
            <w:r/>
          </w:p>
        </w:tc>
        <w:tc>
          <w:tcPr>
            <w:tcW w:w="1792" w:type="dxa"/>
            <w:vAlign w:val="center"/>
            <w:textDirection w:val="lrTb"/>
            <w:noWrap w:val="false"/>
          </w:tcPr>
          <w:p>
            <w:pPr>
              <w:spacing w:line="360" w:lineRule="auto"/>
              <w:rPr>
                <w:color w:val="auto"/>
                <w:szCs w:val="21"/>
                <w:highlight w:val="none"/>
              </w:rPr>
            </w:pPr>
            <w:r>
              <w:rPr>
                <w:rFonts w:hAnsi="宋体"/>
                <w:color w:val="auto"/>
                <w:szCs w:val="21"/>
                <w:highlight w:val="none"/>
              </w:rPr>
              <w:t xml:space="preserve">成立日期</w:t>
            </w:r>
            <w:r/>
          </w:p>
        </w:tc>
        <w:tc>
          <w:tcPr>
            <w:tcW w:w="2659" w:type="dxa"/>
            <w:vAlign w:val="center"/>
            <w:textDirection w:val="lrTb"/>
            <w:noWrap w:val="false"/>
          </w:tcPr>
          <w:p>
            <w:pPr>
              <w:ind w:firstLine="660"/>
              <w:spacing w:line="360" w:lineRule="auto"/>
              <w:rPr>
                <w:color w:val="auto"/>
                <w:szCs w:val="21"/>
                <w:highlight w:val="none"/>
              </w:rPr>
            </w:pPr>
            <w:r>
              <w:rPr>
                <w:rFonts w:hAnsi="宋体"/>
                <w:color w:val="auto"/>
                <w:szCs w:val="21"/>
                <w:highlight w:val="none"/>
              </w:rPr>
              <w:t xml:space="preserve">年</w:t>
            </w:r>
            <w:r>
              <w:rPr>
                <w:color w:val="auto"/>
                <w:szCs w:val="21"/>
                <w:highlight w:val="none"/>
              </w:rPr>
              <w:t xml:space="preserve">   </w:t>
            </w:r>
            <w:r>
              <w:rPr>
                <w:rFonts w:hAnsi="宋体"/>
                <w:color w:val="auto"/>
                <w:szCs w:val="21"/>
                <w:highlight w:val="none"/>
              </w:rPr>
              <w:t xml:space="preserve">月</w:t>
            </w:r>
            <w:r>
              <w:rPr>
                <w:color w:val="auto"/>
                <w:szCs w:val="21"/>
                <w:highlight w:val="none"/>
              </w:rPr>
              <w:t xml:space="preserve">   </w:t>
            </w:r>
            <w:r>
              <w:rPr>
                <w:rFonts w:hAnsi="宋体"/>
                <w:color w:val="auto"/>
                <w:szCs w:val="21"/>
                <w:highlight w:val="none"/>
              </w:rPr>
              <w:t xml:space="preserve">日</w:t>
            </w:r>
            <w:r/>
          </w:p>
        </w:tc>
      </w:tr>
      <w:tr>
        <w:trPr>
          <w:cantSplit/>
          <w:trHeight w:val="20"/>
        </w:trPr>
        <w:tc>
          <w:tcPr>
            <w:tcW w:w="2641" w:type="dxa"/>
            <w:vAlign w:val="center"/>
            <w:textDirection w:val="lrTb"/>
            <w:noWrap w:val="false"/>
          </w:tcPr>
          <w:p>
            <w:pPr>
              <w:spacing w:line="360" w:lineRule="auto"/>
              <w:rPr>
                <w:color w:val="auto"/>
                <w:szCs w:val="21"/>
                <w:highlight w:val="none"/>
              </w:rPr>
            </w:pPr>
            <w:r>
              <w:rPr>
                <w:rFonts w:hint="eastAsia" w:hAnsi="宋体"/>
                <w:color w:val="auto"/>
                <w:szCs w:val="21"/>
                <w:highlight w:val="none"/>
              </w:rPr>
              <w:t xml:space="preserve">办公场所地址</w:t>
            </w:r>
            <w:r/>
          </w:p>
        </w:tc>
        <w:tc>
          <w:tcPr>
            <w:tcW w:w="1447" w:type="dxa"/>
            <w:vAlign w:val="center"/>
            <w:textDirection w:val="lrTb"/>
            <w:noWrap w:val="false"/>
          </w:tcPr>
          <w:p>
            <w:pPr>
              <w:spacing w:line="360" w:lineRule="auto"/>
              <w:rPr>
                <w:color w:val="auto"/>
                <w:szCs w:val="21"/>
                <w:highlight w:val="none"/>
              </w:rPr>
            </w:pPr>
            <w:r>
              <w:rPr>
                <w:color w:val="auto"/>
                <w:szCs w:val="21"/>
                <w:highlight w:val="none"/>
              </w:rPr>
            </w:r>
            <w:r/>
          </w:p>
        </w:tc>
        <w:tc>
          <w:tcPr>
            <w:tcW w:w="1792" w:type="dxa"/>
            <w:vAlign w:val="center"/>
            <w:textDirection w:val="lrTb"/>
            <w:noWrap w:val="false"/>
          </w:tcPr>
          <w:p>
            <w:pPr>
              <w:spacing w:line="360" w:lineRule="auto"/>
              <w:rPr>
                <w:color w:val="auto"/>
                <w:szCs w:val="21"/>
                <w:highlight w:val="none"/>
              </w:rPr>
            </w:pPr>
            <w:r>
              <w:rPr>
                <w:rFonts w:hAnsi="宋体"/>
                <w:color w:val="auto"/>
                <w:szCs w:val="21"/>
                <w:highlight w:val="none"/>
              </w:rPr>
              <w:t xml:space="preserve">注册资本</w:t>
            </w:r>
            <w:r/>
          </w:p>
        </w:tc>
        <w:tc>
          <w:tcPr>
            <w:tcW w:w="2659" w:type="dxa"/>
            <w:vAlign w:val="center"/>
            <w:textDirection w:val="lrTb"/>
            <w:noWrap w:val="false"/>
          </w:tcPr>
          <w:p>
            <w:pPr>
              <w:ind w:firstLine="1995"/>
              <w:spacing w:line="360" w:lineRule="auto"/>
              <w:rPr>
                <w:color w:val="auto"/>
                <w:szCs w:val="21"/>
                <w:highlight w:val="none"/>
              </w:rPr>
            </w:pPr>
            <w:r>
              <w:rPr>
                <w:rFonts w:hAnsi="宋体"/>
                <w:color w:val="auto"/>
                <w:szCs w:val="21"/>
                <w:highlight w:val="none"/>
              </w:rPr>
              <w:t xml:space="preserve">万元</w:t>
            </w:r>
            <w:r/>
          </w:p>
        </w:tc>
      </w:tr>
      <w:tr>
        <w:trPr>
          <w:cantSplit/>
          <w:trHeight w:val="20"/>
        </w:trPr>
        <w:tc>
          <w:tcPr>
            <w:tcW w:w="2641" w:type="dxa"/>
            <w:vAlign w:val="center"/>
            <w:textDirection w:val="lrTb"/>
            <w:noWrap w:val="false"/>
          </w:tcPr>
          <w:p>
            <w:pPr>
              <w:spacing w:line="360" w:lineRule="auto"/>
              <w:rPr>
                <w:color w:val="auto"/>
                <w:szCs w:val="21"/>
                <w:highlight w:val="none"/>
              </w:rPr>
            </w:pPr>
            <w:r>
              <w:rPr>
                <w:rFonts w:hAnsi="宋体"/>
                <w:color w:val="auto"/>
                <w:szCs w:val="21"/>
                <w:highlight w:val="none"/>
              </w:rPr>
              <w:t xml:space="preserve">经营范围</w:t>
            </w:r>
            <w:r/>
          </w:p>
        </w:tc>
        <w:tc>
          <w:tcPr>
            <w:gridSpan w:val="3"/>
            <w:tcW w:w="5898" w:type="dxa"/>
            <w:vAlign w:val="center"/>
            <w:textDirection w:val="lrTb"/>
            <w:noWrap w:val="false"/>
          </w:tcPr>
          <w:p>
            <w:pPr>
              <w:spacing w:line="360" w:lineRule="auto"/>
              <w:rPr>
                <w:color w:val="auto"/>
                <w:szCs w:val="21"/>
                <w:highlight w:val="none"/>
              </w:rPr>
            </w:pPr>
            <w:r>
              <w:rPr>
                <w:color w:val="auto"/>
                <w:szCs w:val="21"/>
                <w:highlight w:val="none"/>
              </w:rPr>
            </w:r>
            <w:r/>
          </w:p>
        </w:tc>
      </w:tr>
      <w:tr>
        <w:trPr>
          <w:cantSplit/>
          <w:trHeight w:val="20"/>
        </w:trPr>
        <w:tc>
          <w:tcPr>
            <w:tcW w:w="2641" w:type="dxa"/>
            <w:vAlign w:val="center"/>
            <w:textDirection w:val="lrTb"/>
            <w:noWrap w:val="false"/>
          </w:tcPr>
          <w:p>
            <w:pPr>
              <w:spacing w:line="360" w:lineRule="auto"/>
              <w:rPr>
                <w:color w:val="auto"/>
                <w:szCs w:val="21"/>
                <w:highlight w:val="none"/>
              </w:rPr>
            </w:pPr>
            <w:r>
              <w:rPr>
                <w:rFonts w:hAnsi="宋体"/>
                <w:color w:val="auto"/>
                <w:szCs w:val="21"/>
                <w:highlight w:val="none"/>
              </w:rPr>
              <w:t xml:space="preserve">职工人数</w:t>
            </w:r>
            <w:r/>
          </w:p>
        </w:tc>
        <w:tc>
          <w:tcPr>
            <w:tcW w:w="1447"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W w:w="4451" w:type="dxa"/>
            <w:vAlign w:val="center"/>
            <w:textDirection w:val="lrTb"/>
            <w:noWrap w:val="false"/>
          </w:tcPr>
          <w:p>
            <w:pPr>
              <w:spacing w:line="360" w:lineRule="auto"/>
              <w:rPr>
                <w:rFonts w:hAnsi="宋体"/>
                <w:color w:val="auto"/>
                <w:szCs w:val="21"/>
                <w:highlight w:val="none"/>
              </w:rPr>
            </w:pPr>
            <w:r>
              <w:rPr>
                <w:rFonts w:hAnsi="宋体"/>
                <w:color w:val="auto"/>
                <w:szCs w:val="21"/>
                <w:highlight w:val="none"/>
              </w:rPr>
              <w:t xml:space="preserve">其中：</w:t>
            </w:r>
            <w:r/>
          </w:p>
          <w:p>
            <w:pPr>
              <w:spacing w:line="360" w:lineRule="auto"/>
              <w:rPr>
                <w:rFonts w:hAnsi="宋体"/>
                <w:color w:val="auto"/>
                <w:szCs w:val="21"/>
                <w:highlight w:val="none"/>
              </w:rPr>
            </w:pPr>
            <w:r>
              <w:rPr>
                <w:rFonts w:hint="eastAsia" w:hAnsi="宋体"/>
                <w:color w:val="auto"/>
                <w:szCs w:val="21"/>
                <w:highlight w:val="none"/>
              </w:rPr>
              <w:t xml:space="preserve">一级造价工程师</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人</w:t>
            </w:r>
            <w:r/>
          </w:p>
          <w:p>
            <w:pPr>
              <w:spacing w:line="360" w:lineRule="auto"/>
              <w:rPr>
                <w:rFonts w:hAnsi="宋体"/>
                <w:color w:val="auto"/>
                <w:szCs w:val="21"/>
                <w:highlight w:val="none"/>
              </w:rPr>
            </w:pPr>
            <w:r>
              <w:rPr>
                <w:rFonts w:hAnsi="宋体"/>
                <w:color w:val="auto"/>
                <w:szCs w:val="21"/>
                <w:highlight w:val="none"/>
              </w:rPr>
              <w:t xml:space="preserve">其他造价从业人员</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人</w:t>
            </w:r>
            <w:r/>
          </w:p>
          <w:p>
            <w:pPr>
              <w:spacing w:line="360" w:lineRule="auto"/>
              <w:rPr>
                <w:color w:val="auto"/>
                <w:szCs w:val="21"/>
                <w:highlight w:val="none"/>
                <w:u w:val="single"/>
              </w:rPr>
            </w:pPr>
            <w:r>
              <w:rPr>
                <w:rFonts w:hAnsi="宋体"/>
                <w:color w:val="auto"/>
                <w:szCs w:val="21"/>
                <w:highlight w:val="none"/>
              </w:rPr>
              <w:t xml:space="preserve">中级职称</w:t>
            </w:r>
            <w:r>
              <w:rPr>
                <w:color w:val="auto"/>
                <w:szCs w:val="21"/>
                <w:highlight w:val="none"/>
                <w:u w:val="single"/>
              </w:rPr>
              <w:t xml:space="preserve">     </w:t>
            </w:r>
            <w:r>
              <w:rPr>
                <w:color w:val="auto"/>
                <w:szCs w:val="21"/>
                <w:highlight w:val="none"/>
              </w:rPr>
              <w:t xml:space="preserve"> </w:t>
            </w:r>
            <w:r>
              <w:rPr>
                <w:rFonts w:hAnsi="宋体"/>
                <w:color w:val="auto"/>
                <w:szCs w:val="21"/>
                <w:highlight w:val="none"/>
              </w:rPr>
              <w:t xml:space="preserve">人，高级职称</w:t>
            </w:r>
            <w:r>
              <w:rPr>
                <w:color w:val="auto"/>
                <w:szCs w:val="21"/>
                <w:highlight w:val="none"/>
                <w:u w:val="single"/>
              </w:rPr>
              <w:t xml:space="preserve">      </w:t>
            </w:r>
            <w:r>
              <w:rPr>
                <w:rFonts w:hAnsi="宋体"/>
                <w:color w:val="auto"/>
                <w:szCs w:val="21"/>
                <w:highlight w:val="none"/>
              </w:rPr>
              <w:t xml:space="preserve">人</w:t>
            </w:r>
            <w:r/>
          </w:p>
        </w:tc>
      </w:tr>
      <w:tr>
        <w:trPr>
          <w:cantSplit/>
          <w:trHeight w:val="20"/>
        </w:trPr>
        <w:tc>
          <w:tcPr>
            <w:tcW w:w="2641" w:type="dxa"/>
            <w:vAlign w:val="center"/>
            <w:textDirection w:val="lrTb"/>
            <w:noWrap w:val="false"/>
          </w:tcPr>
          <w:p>
            <w:pPr>
              <w:spacing w:line="360" w:lineRule="auto"/>
              <w:rPr>
                <w:color w:val="auto"/>
                <w:szCs w:val="21"/>
                <w:highlight w:val="none"/>
              </w:rPr>
            </w:pPr>
            <w:r>
              <w:rPr>
                <w:rFonts w:hAnsi="宋体"/>
                <w:color w:val="auto"/>
                <w:szCs w:val="21"/>
                <w:highlight w:val="none"/>
              </w:rPr>
              <w:t xml:space="preserve">办公面积</w:t>
            </w:r>
            <w:r/>
          </w:p>
        </w:tc>
        <w:tc>
          <w:tcPr>
            <w:tcW w:w="1447" w:type="dxa"/>
            <w:vAlign w:val="center"/>
            <w:textDirection w:val="lrTb"/>
            <w:noWrap w:val="false"/>
          </w:tcPr>
          <w:p>
            <w:pPr>
              <w:spacing w:line="360" w:lineRule="auto"/>
              <w:rPr>
                <w:color w:val="auto"/>
                <w:szCs w:val="21"/>
                <w:highlight w:val="none"/>
              </w:rPr>
            </w:pPr>
            <w:r>
              <w:rPr>
                <w:color w:val="auto"/>
                <w:szCs w:val="21"/>
                <w:highlight w:val="none"/>
              </w:rPr>
              <w:t xml:space="preserve">     </w:t>
            </w:r>
            <w:r>
              <w:rPr>
                <w:rFonts w:hAnsi="宋体"/>
                <w:color w:val="auto"/>
                <w:szCs w:val="21"/>
                <w:highlight w:val="none"/>
              </w:rPr>
              <w:t xml:space="preserve">平方米</w:t>
            </w:r>
            <w:r/>
          </w:p>
        </w:tc>
        <w:tc>
          <w:tcPr>
            <w:tcW w:w="1792" w:type="dxa"/>
            <w:vAlign w:val="center"/>
            <w:textDirection w:val="lrTb"/>
            <w:noWrap w:val="false"/>
          </w:tcPr>
          <w:p>
            <w:pPr>
              <w:spacing w:line="360" w:lineRule="auto"/>
              <w:rPr>
                <w:color w:val="auto"/>
                <w:szCs w:val="21"/>
                <w:highlight w:val="none"/>
              </w:rPr>
            </w:pPr>
            <w:r>
              <w:rPr>
                <w:rFonts w:hAnsi="宋体"/>
                <w:color w:val="auto"/>
                <w:szCs w:val="21"/>
                <w:highlight w:val="none"/>
              </w:rPr>
              <w:t xml:space="preserve">其中：</w:t>
            </w:r>
            <w:r/>
          </w:p>
        </w:tc>
        <w:tc>
          <w:tcPr>
            <w:tcW w:w="2659" w:type="dxa"/>
            <w:vAlign w:val="center"/>
            <w:textDirection w:val="lrTb"/>
            <w:noWrap w:val="false"/>
          </w:tcPr>
          <w:p>
            <w:pPr>
              <w:spacing w:line="360" w:lineRule="auto"/>
              <w:rPr>
                <w:color w:val="auto"/>
                <w:szCs w:val="21"/>
                <w:highlight w:val="none"/>
              </w:rPr>
            </w:pPr>
            <w:r>
              <w:rPr>
                <w:rFonts w:hAnsi="宋体"/>
                <w:color w:val="auto"/>
                <w:szCs w:val="21"/>
                <w:highlight w:val="none"/>
              </w:rPr>
              <w:t xml:space="preserve">自有面积</w:t>
            </w:r>
            <w:r>
              <w:rPr>
                <w:color w:val="auto"/>
                <w:szCs w:val="21"/>
                <w:highlight w:val="none"/>
              </w:rPr>
              <w:t xml:space="preserve">      </w:t>
            </w:r>
            <w:r>
              <w:rPr>
                <w:rFonts w:hAnsi="宋体"/>
                <w:color w:val="auto"/>
                <w:szCs w:val="21"/>
                <w:highlight w:val="none"/>
              </w:rPr>
              <w:t xml:space="preserve">平方米</w:t>
            </w:r>
            <w:r/>
          </w:p>
          <w:p>
            <w:pPr>
              <w:spacing w:line="360" w:lineRule="auto"/>
              <w:rPr>
                <w:color w:val="auto"/>
                <w:szCs w:val="21"/>
                <w:highlight w:val="none"/>
              </w:rPr>
            </w:pPr>
            <w:r>
              <w:rPr>
                <w:rFonts w:hAnsi="宋体"/>
                <w:color w:val="auto"/>
                <w:szCs w:val="21"/>
                <w:highlight w:val="none"/>
              </w:rPr>
              <w:t xml:space="preserve">承租面积</w:t>
            </w:r>
            <w:r>
              <w:rPr>
                <w:color w:val="auto"/>
                <w:szCs w:val="21"/>
                <w:highlight w:val="none"/>
              </w:rPr>
              <w:t xml:space="preserve">      </w:t>
            </w:r>
            <w:r>
              <w:rPr>
                <w:rFonts w:hAnsi="宋体"/>
                <w:color w:val="auto"/>
                <w:szCs w:val="21"/>
                <w:highlight w:val="none"/>
              </w:rPr>
              <w:t xml:space="preserve">平方米</w:t>
            </w:r>
            <w:r/>
          </w:p>
        </w:tc>
      </w:tr>
      <w:tr>
        <w:trPr>
          <w:cantSplit/>
          <w:trHeight w:val="20"/>
        </w:trPr>
        <w:tc>
          <w:tcPr>
            <w:tcW w:w="2641" w:type="dxa"/>
            <w:vAlign w:val="center"/>
            <w:textDirection w:val="lrTb"/>
            <w:noWrap w:val="false"/>
          </w:tcPr>
          <w:p>
            <w:pPr>
              <w:spacing w:line="360" w:lineRule="auto"/>
              <w:rPr>
                <w:color w:val="auto"/>
                <w:szCs w:val="21"/>
                <w:highlight w:val="none"/>
              </w:rPr>
            </w:pPr>
            <w:r>
              <w:rPr>
                <w:rFonts w:hAnsi="宋体"/>
                <w:color w:val="auto"/>
                <w:szCs w:val="21"/>
                <w:highlight w:val="none"/>
              </w:rPr>
              <w:t xml:space="preserve">单位简历及</w:t>
            </w:r>
            <w:r/>
          </w:p>
          <w:p>
            <w:pPr>
              <w:spacing w:line="360" w:lineRule="auto"/>
              <w:rPr>
                <w:color w:val="auto"/>
                <w:szCs w:val="21"/>
                <w:highlight w:val="none"/>
              </w:rPr>
            </w:pPr>
            <w:r>
              <w:rPr>
                <w:rFonts w:hAnsi="宋体"/>
                <w:color w:val="auto"/>
                <w:szCs w:val="21"/>
                <w:highlight w:val="none"/>
              </w:rPr>
              <w:t xml:space="preserve">内设机构情况</w:t>
            </w:r>
            <w:r/>
          </w:p>
        </w:tc>
        <w:tc>
          <w:tcPr>
            <w:gridSpan w:val="3"/>
            <w:tcW w:w="5898" w:type="dxa"/>
            <w:vAlign w:val="center"/>
            <w:textDirection w:val="lrTb"/>
            <w:noWrap w:val="false"/>
          </w:tcPr>
          <w:p>
            <w:pPr>
              <w:spacing w:line="360" w:lineRule="auto"/>
              <w:rPr>
                <w:color w:val="auto"/>
                <w:szCs w:val="21"/>
                <w:highlight w:val="none"/>
              </w:rPr>
            </w:pPr>
            <w:r>
              <w:rPr>
                <w:color w:val="auto"/>
                <w:szCs w:val="21"/>
                <w:highlight w:val="none"/>
              </w:rPr>
            </w:r>
            <w:r/>
          </w:p>
        </w:tc>
      </w:tr>
      <w:tr>
        <w:trPr>
          <w:cantSplit/>
          <w:trHeight w:val="20"/>
        </w:trPr>
        <w:tc>
          <w:tcPr>
            <w:tcW w:w="2641" w:type="dxa"/>
            <w:vAlign w:val="center"/>
            <w:textDirection w:val="lrTb"/>
            <w:noWrap w:val="false"/>
          </w:tcPr>
          <w:p>
            <w:pPr>
              <w:spacing w:line="360" w:lineRule="auto"/>
              <w:rPr>
                <w:color w:val="auto"/>
                <w:szCs w:val="21"/>
                <w:highlight w:val="none"/>
              </w:rPr>
            </w:pPr>
            <w:r>
              <w:rPr>
                <w:rFonts w:hint="eastAsia" w:hAnsi="宋体"/>
                <w:color w:val="auto"/>
                <w:szCs w:val="21"/>
                <w:highlight w:val="none"/>
              </w:rPr>
              <w:t xml:space="preserve">近三年主营业务收入情况</w:t>
            </w:r>
            <w:r/>
          </w:p>
        </w:tc>
        <w:tc>
          <w:tcPr>
            <w:gridSpan w:val="3"/>
            <w:tcW w:w="5898" w:type="dxa"/>
            <w:vAlign w:val="center"/>
            <w:textDirection w:val="lrTb"/>
            <w:noWrap w:val="false"/>
          </w:tcPr>
          <w:p>
            <w:pPr>
              <w:spacing w:line="360" w:lineRule="auto"/>
              <w:rPr>
                <w:color w:val="auto"/>
                <w:szCs w:val="21"/>
                <w:highlight w:val="none"/>
              </w:rPr>
            </w:pPr>
            <w:r>
              <w:rPr>
                <w:color w:val="auto"/>
                <w:szCs w:val="21"/>
                <w:highlight w:val="none"/>
              </w:rPr>
            </w:r>
            <w:r/>
          </w:p>
        </w:tc>
      </w:tr>
      <w:tr>
        <w:trPr>
          <w:cantSplit/>
          <w:trHeight w:val="20"/>
        </w:trPr>
        <w:tc>
          <w:tcPr>
            <w:tcW w:w="2641" w:type="dxa"/>
            <w:textDirection w:val="lrTb"/>
            <w:noWrap w:val="false"/>
          </w:tcPr>
          <w:p>
            <w:pPr>
              <w:jc w:val="left"/>
              <w:spacing w:line="360" w:lineRule="auto"/>
              <w:rPr>
                <w:color w:val="auto"/>
                <w:szCs w:val="21"/>
                <w:highlight w:val="none"/>
              </w:rPr>
            </w:pPr>
            <w:r>
              <w:rPr>
                <w:rFonts w:hAnsi="宋体"/>
                <w:color w:val="auto"/>
                <w:szCs w:val="21"/>
                <w:highlight w:val="none"/>
              </w:rPr>
              <w:t xml:space="preserve">最近</w:t>
            </w:r>
            <w:r>
              <w:rPr>
                <w:color w:val="auto"/>
                <w:szCs w:val="21"/>
                <w:highlight w:val="none"/>
              </w:rPr>
              <w:t xml:space="preserve">3</w:t>
            </w:r>
            <w:r>
              <w:rPr>
                <w:rFonts w:hAnsi="宋体"/>
                <w:color w:val="auto"/>
                <w:szCs w:val="21"/>
                <w:highlight w:val="none"/>
              </w:rPr>
              <w:t xml:space="preserve">年来完成或正在履行的重大合同情况</w:t>
            </w:r>
            <w:r/>
          </w:p>
        </w:tc>
        <w:tc>
          <w:tcPr>
            <w:gridSpan w:val="3"/>
            <w:tcW w:w="5898" w:type="dxa"/>
            <w:textDirection w:val="lrTb"/>
            <w:noWrap w:val="false"/>
          </w:tcPr>
          <w:p>
            <w:pPr>
              <w:jc w:val="left"/>
              <w:spacing w:line="360" w:lineRule="auto"/>
              <w:rPr>
                <w:color w:val="auto"/>
                <w:szCs w:val="21"/>
                <w:highlight w:val="none"/>
              </w:rPr>
            </w:pPr>
            <w:r>
              <w:rPr>
                <w:color w:val="auto"/>
                <w:szCs w:val="21"/>
                <w:highlight w:val="none"/>
              </w:rPr>
            </w:r>
            <w:r/>
          </w:p>
        </w:tc>
      </w:tr>
      <w:tr>
        <w:trPr>
          <w:cantSplit/>
          <w:trHeight w:val="20"/>
        </w:trPr>
        <w:tc>
          <w:tcPr>
            <w:tcW w:w="2641" w:type="dxa"/>
            <w:textDirection w:val="lrTb"/>
            <w:noWrap w:val="false"/>
          </w:tcPr>
          <w:p>
            <w:pPr>
              <w:jc w:val="left"/>
              <w:spacing w:line="360" w:lineRule="auto"/>
              <w:rPr>
                <w:color w:val="auto"/>
                <w:szCs w:val="21"/>
                <w:highlight w:val="none"/>
              </w:rPr>
            </w:pPr>
            <w:r>
              <w:rPr>
                <w:rFonts w:hAnsi="宋体"/>
                <w:color w:val="auto"/>
                <w:szCs w:val="21"/>
                <w:highlight w:val="none"/>
              </w:rPr>
              <w:t xml:space="preserve">最近</w:t>
            </w:r>
            <w:r>
              <w:rPr>
                <w:rFonts w:hint="eastAsia"/>
                <w:color w:val="auto"/>
                <w:szCs w:val="21"/>
                <w:highlight w:val="none"/>
              </w:rPr>
              <w:t xml:space="preserve">3</w:t>
            </w:r>
            <w:r>
              <w:rPr>
                <w:rFonts w:hAnsi="宋体"/>
                <w:color w:val="auto"/>
                <w:szCs w:val="21"/>
                <w:highlight w:val="none"/>
              </w:rPr>
              <w:t xml:space="preserve">年内在经营过程中受到何种奖励或处分</w:t>
            </w:r>
            <w:r/>
          </w:p>
        </w:tc>
        <w:tc>
          <w:tcPr>
            <w:gridSpan w:val="3"/>
            <w:tcW w:w="5898" w:type="dxa"/>
            <w:textDirection w:val="lrTb"/>
            <w:noWrap w:val="false"/>
          </w:tcPr>
          <w:p>
            <w:pPr>
              <w:jc w:val="left"/>
              <w:spacing w:line="360" w:lineRule="auto"/>
              <w:rPr>
                <w:color w:val="auto"/>
                <w:szCs w:val="21"/>
                <w:highlight w:val="none"/>
              </w:rPr>
            </w:pPr>
            <w:r>
              <w:rPr>
                <w:color w:val="auto"/>
                <w:szCs w:val="21"/>
                <w:highlight w:val="none"/>
              </w:rPr>
            </w:r>
            <w:r/>
          </w:p>
        </w:tc>
      </w:tr>
      <w:tr>
        <w:trPr>
          <w:cantSplit/>
          <w:trHeight w:val="20"/>
        </w:trPr>
        <w:tc>
          <w:tcPr>
            <w:tcW w:w="2641" w:type="dxa"/>
            <w:textDirection w:val="lrTb"/>
            <w:noWrap w:val="false"/>
          </w:tcPr>
          <w:p>
            <w:pPr>
              <w:jc w:val="left"/>
              <w:spacing w:line="360" w:lineRule="auto"/>
              <w:rPr>
                <w:color w:val="auto"/>
                <w:szCs w:val="21"/>
                <w:highlight w:val="none"/>
              </w:rPr>
            </w:pPr>
            <w:r>
              <w:rPr>
                <w:rFonts w:hAnsi="宋体"/>
                <w:color w:val="auto"/>
                <w:szCs w:val="21"/>
                <w:highlight w:val="none"/>
              </w:rPr>
              <w:t xml:space="preserve">最近</w:t>
            </w:r>
            <w:r>
              <w:rPr>
                <w:color w:val="auto"/>
                <w:szCs w:val="21"/>
                <w:highlight w:val="none"/>
              </w:rPr>
              <w:t xml:space="preserve">3</w:t>
            </w:r>
            <w:r>
              <w:rPr>
                <w:rFonts w:hAnsi="宋体"/>
                <w:color w:val="auto"/>
                <w:szCs w:val="21"/>
                <w:highlight w:val="none"/>
              </w:rPr>
              <w:t xml:space="preserve">年内有无因违纪或是其他原因被投诉或起诉的情况及说明</w:t>
            </w:r>
            <w:r/>
          </w:p>
        </w:tc>
        <w:tc>
          <w:tcPr>
            <w:gridSpan w:val="3"/>
            <w:tcW w:w="5898" w:type="dxa"/>
            <w:textDirection w:val="lrTb"/>
            <w:noWrap w:val="false"/>
          </w:tcPr>
          <w:p>
            <w:pPr>
              <w:jc w:val="left"/>
              <w:spacing w:line="360" w:lineRule="auto"/>
              <w:rPr>
                <w:color w:val="auto"/>
                <w:szCs w:val="21"/>
                <w:highlight w:val="none"/>
              </w:rPr>
            </w:pPr>
            <w:r>
              <w:rPr>
                <w:rFonts w:hAnsi="宋体"/>
                <w:color w:val="auto"/>
                <w:szCs w:val="21"/>
                <w:highlight w:val="none"/>
              </w:rPr>
              <w:t xml:space="preserve">（包括解决方式和结果）</w:t>
            </w:r>
            <w:r/>
          </w:p>
        </w:tc>
      </w:tr>
      <w:tr>
        <w:trPr>
          <w:cantSplit/>
          <w:trHeight w:val="20"/>
        </w:trPr>
        <w:tc>
          <w:tcPr>
            <w:tcW w:w="2641" w:type="dxa"/>
            <w:textDirection w:val="lrTb"/>
            <w:noWrap w:val="false"/>
          </w:tcPr>
          <w:p>
            <w:pPr>
              <w:jc w:val="left"/>
              <w:spacing w:line="360" w:lineRule="auto"/>
              <w:rPr>
                <w:color w:val="auto"/>
                <w:szCs w:val="21"/>
                <w:highlight w:val="none"/>
              </w:rPr>
            </w:pPr>
            <w:r>
              <w:rPr>
                <w:rFonts w:hAnsi="宋体"/>
                <w:color w:val="auto"/>
                <w:szCs w:val="21"/>
                <w:highlight w:val="none"/>
              </w:rPr>
              <w:t xml:space="preserve">最近</w:t>
            </w:r>
            <w:r>
              <w:rPr>
                <w:color w:val="auto"/>
                <w:szCs w:val="21"/>
                <w:highlight w:val="none"/>
              </w:rPr>
              <w:t xml:space="preserve">3</w:t>
            </w:r>
            <w:r>
              <w:rPr>
                <w:rFonts w:hAnsi="宋体"/>
                <w:color w:val="auto"/>
                <w:szCs w:val="21"/>
                <w:highlight w:val="none"/>
              </w:rPr>
              <w:t xml:space="preserve">年内主要负责人有无因经济犯罪被司法机关追究的情况及说明</w:t>
            </w:r>
            <w:r/>
          </w:p>
        </w:tc>
        <w:tc>
          <w:tcPr>
            <w:gridSpan w:val="3"/>
            <w:tcW w:w="5898" w:type="dxa"/>
            <w:textDirection w:val="lrTb"/>
            <w:noWrap w:val="false"/>
          </w:tcPr>
          <w:p>
            <w:pPr>
              <w:jc w:val="left"/>
              <w:spacing w:line="360" w:lineRule="auto"/>
              <w:rPr>
                <w:color w:val="auto"/>
                <w:szCs w:val="21"/>
                <w:highlight w:val="none"/>
              </w:rPr>
            </w:pPr>
            <w:r>
              <w:rPr>
                <w:color w:val="auto"/>
                <w:szCs w:val="21"/>
                <w:highlight w:val="none"/>
              </w:rPr>
            </w:r>
            <w:r/>
          </w:p>
        </w:tc>
      </w:tr>
      <w:tr>
        <w:trPr>
          <w:cantSplit/>
          <w:trHeight w:val="20"/>
        </w:trPr>
        <w:tc>
          <w:tcPr>
            <w:gridSpan w:val="4"/>
            <w:tcW w:w="8539" w:type="dxa"/>
            <w:textDirection w:val="lrTb"/>
            <w:noWrap w:val="false"/>
          </w:tcPr>
          <w:p>
            <w:pPr>
              <w:jc w:val="left"/>
              <w:spacing w:line="360" w:lineRule="auto"/>
              <w:rPr>
                <w:color w:val="auto"/>
                <w:szCs w:val="21"/>
                <w:highlight w:val="none"/>
              </w:rPr>
            </w:pPr>
            <w:r>
              <w:rPr>
                <w:rFonts w:hAnsi="宋体"/>
                <w:color w:val="auto"/>
                <w:szCs w:val="21"/>
                <w:highlight w:val="none"/>
              </w:rPr>
              <w:t xml:space="preserve">其他需要说明的情况：</w:t>
            </w:r>
            <w:r/>
          </w:p>
        </w:tc>
      </w:tr>
    </w:tbl>
    <w:p>
      <w:pPr>
        <w:jc w:val="left"/>
        <w:spacing w:line="400" w:lineRule="exact"/>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或代理人</w:t>
      </w:r>
      <w:r>
        <w:rPr>
          <w:rFonts w:ascii="宋体" w:hAnsi="宋体"/>
          <w:color w:val="auto"/>
          <w:szCs w:val="21"/>
          <w:highlight w:val="none"/>
        </w:rPr>
        <w:t xml:space="preserve">（签字或盖章）</w:t>
      </w:r>
      <w:r>
        <w:rPr>
          <w:rFonts w:hint="eastAsia" w:ascii="宋体" w:hAnsi="宋体"/>
          <w:color w:val="auto"/>
          <w:szCs w:val="21"/>
          <w:highlight w:val="none"/>
        </w:rPr>
        <w:t xml:space="preserve">：</w:t>
      </w:r>
      <w:r/>
    </w:p>
    <w:p>
      <w:pPr>
        <w:jc w:val="left"/>
        <w:spacing w:line="400" w:lineRule="exact"/>
        <w:rPr>
          <w:rFonts w:ascii="宋体" w:hAnsi="宋体"/>
          <w:color w:val="auto"/>
          <w:szCs w:val="21"/>
          <w:highlight w:val="none"/>
        </w:rPr>
      </w:pPr>
      <w:r>
        <w:rPr>
          <w:rFonts w:ascii="宋体" w:hAnsi="宋体"/>
          <w:color w:val="auto"/>
          <w:szCs w:val="21"/>
          <w:highlight w:val="none"/>
        </w:rPr>
      </w:r>
      <w:r/>
    </w:p>
    <w:p>
      <w:pPr>
        <w:jc w:val="left"/>
        <w:spacing w:line="400" w:lineRule="exact"/>
        <w:rPr>
          <w:rFonts w:ascii="宋体" w:hAnsi="宋体"/>
          <w:color w:val="auto"/>
          <w:szCs w:val="21"/>
          <w:highlight w:val="none"/>
        </w:rPr>
      </w:pPr>
      <w:r>
        <w:rPr>
          <w:rFonts w:ascii="宋体" w:hAnsi="宋体"/>
          <w:color w:val="auto"/>
          <w:szCs w:val="21"/>
          <w:highlight w:val="none"/>
        </w:rPr>
      </w:r>
      <w:r/>
    </w:p>
    <w:p>
      <w:pPr>
        <w:jc w:val="left"/>
        <w:spacing w:line="400" w:lineRule="exact"/>
        <w:rPr>
          <w:rFonts w:ascii="宋体" w:hAnsi="宋体"/>
          <w:color w:val="auto"/>
          <w:szCs w:val="21"/>
          <w:highlight w:val="none"/>
        </w:rPr>
      </w:pPr>
      <w:r>
        <w:rPr>
          <w:rFonts w:ascii="宋体" w:hAnsi="宋体"/>
          <w:color w:val="auto"/>
          <w:szCs w:val="21"/>
          <w:highlight w:val="none"/>
        </w:rPr>
      </w:r>
      <w:r/>
    </w:p>
    <w:p>
      <w:pPr>
        <w:rPr>
          <w:color w:val="auto"/>
          <w:sz w:val="24"/>
          <w:szCs w:val="24"/>
          <w:highlight w:val="none"/>
        </w:rPr>
        <w:outlineLvl w:val="0"/>
      </w:pPr>
      <w:r>
        <w:rPr>
          <w:rFonts w:hint="eastAsia"/>
          <w:color w:val="auto"/>
          <w:sz w:val="24"/>
          <w:highlight w:val="none"/>
        </w:rPr>
        <w:br w:type="page" w:clear="all"/>
      </w:r>
      <w:r/>
    </w:p>
    <w:p>
      <w:pPr>
        <w:jc w:val="left"/>
        <w:widowControl/>
        <w:rPr>
          <w:color w:val="auto"/>
          <w:sz w:val="24"/>
          <w:szCs w:val="24"/>
          <w:highlight w:val="none"/>
        </w:rPr>
        <w:outlineLvl w:val="0"/>
      </w:pPr>
      <w:r>
        <w:rPr>
          <w:rFonts w:hint="eastAsia" w:ascii="宋体" w:hAnsi="宋体"/>
          <w:b/>
          <w:color w:val="auto"/>
          <w:sz w:val="24"/>
          <w:szCs w:val="21"/>
          <w:highlight w:val="none"/>
          <w:shd w:val="clear" w:color="auto" w:fill="ffffff"/>
        </w:rPr>
        <w:t xml:space="preserve">格式7</w:t>
      </w:r>
      <w:r>
        <w:rPr>
          <w:rFonts w:hint="eastAsia" w:ascii="宋体" w:hAnsi="宋体"/>
          <w:b/>
          <w:bCs/>
          <w:color w:val="auto"/>
          <w:sz w:val="24"/>
          <w:szCs w:val="21"/>
          <w:highlight w:val="none"/>
          <w:shd w:val="clear" w:color="auto" w:fill="ffffff"/>
          <w:lang w:val="zh-CN"/>
        </w:rPr>
        <w:t xml:space="preserve">、</w:t>
      </w:r>
      <w:r>
        <w:rPr>
          <w:rFonts w:hint="eastAsia"/>
          <w:color w:val="auto"/>
          <w:sz w:val="24"/>
          <w:highlight w:val="none"/>
        </w:rPr>
        <w:t xml:space="preserve">中小企业声明函（如属）</w:t>
      </w:r>
      <w:r/>
    </w:p>
    <w:p>
      <w:pPr>
        <w:jc w:val="center"/>
        <w:spacing w:line="400" w:lineRule="exact"/>
        <w:widowControl/>
        <w:rPr>
          <w:rFonts w:ascii="宋体" w:cs="宋体"/>
          <w:b/>
          <w:color w:val="auto"/>
          <w:sz w:val="32"/>
          <w:szCs w:val="32"/>
          <w:highlight w:val="none"/>
          <w:shd w:val="clear" w:color="auto" w:fill="ffffff"/>
        </w:rPr>
      </w:pPr>
      <w:r>
        <w:rPr>
          <w:rFonts w:hint="eastAsia" w:ascii="宋体" w:cs="宋体"/>
          <w:b/>
          <w:color w:val="auto"/>
          <w:sz w:val="32"/>
          <w:szCs w:val="32"/>
          <w:highlight w:val="none"/>
          <w:shd w:val="clear" w:color="auto" w:fill="ffffff"/>
          <w:lang w:val="zh-CN"/>
        </w:rPr>
        <w:t xml:space="preserve">中小企业声明函（如属）</w:t>
      </w:r>
      <w:r/>
    </w:p>
    <w:p>
      <w:pPr>
        <w:jc w:val="left"/>
        <w:spacing w:line="400" w:lineRule="exact"/>
        <w:widowControl/>
        <w:rPr>
          <w:b/>
          <w:color w:val="auto"/>
          <w:szCs w:val="21"/>
          <w:highlight w:val="none"/>
          <w:shd w:val="clear" w:color="auto" w:fill="ffffff"/>
        </w:rPr>
      </w:pPr>
      <w:r>
        <w:rPr>
          <w:b/>
          <w:color w:val="auto"/>
          <w:szCs w:val="21"/>
          <w:highlight w:val="none"/>
          <w:shd w:val="clear" w:color="auto" w:fill="ffffff"/>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8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本公司郑重声明，根据《政府采购促进中小企业发展管理办法》（财库[20</w:t>
      </w:r>
      <w:r>
        <w:rPr>
          <w:rFonts w:ascii="宋体" w:hAnsi="宋体" w:cs="宋体"/>
          <w:color w:val="auto"/>
          <w:sz w:val="24"/>
          <w:szCs w:val="21"/>
          <w:highlight w:val="none"/>
        </w:rPr>
        <w:t xml:space="preserve">20</w:t>
      </w:r>
      <w:r>
        <w:rPr>
          <w:rFonts w:hint="eastAsia" w:ascii="宋体" w:hAnsi="宋体" w:cs="宋体"/>
          <w:color w:val="auto"/>
          <w:sz w:val="24"/>
          <w:szCs w:val="21"/>
          <w:highlight w:val="none"/>
        </w:rPr>
        <w:t xml:space="preserve">]</w:t>
      </w:r>
      <w:r>
        <w:rPr>
          <w:rFonts w:ascii="宋体" w:hAnsi="宋体" w:cs="宋体"/>
          <w:color w:val="auto"/>
          <w:sz w:val="24"/>
          <w:szCs w:val="21"/>
          <w:highlight w:val="none"/>
        </w:rPr>
        <w:t xml:space="preserve">46</w:t>
      </w:r>
      <w:r>
        <w:rPr>
          <w:rFonts w:hint="eastAsia" w:ascii="宋体" w:hAnsi="宋体" w:cs="宋体"/>
          <w:color w:val="auto"/>
          <w:sz w:val="24"/>
          <w:szCs w:val="21"/>
          <w:highlight w:val="none"/>
        </w:rPr>
        <w:t xml:space="preserve">号）的规定，本公司参加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采购活动，服务全部由符合政策要求的中小企业承接。相关企业的具体情况如下：</w:t>
      </w:r>
      <w:r>
        <w:rPr>
          <w:rFonts w:ascii="宋体" w:hAnsi="宋体" w:cs="宋体"/>
          <w:color w:val="auto"/>
          <w:sz w:val="24"/>
          <w:szCs w:val="21"/>
          <w:highlight w:val="none"/>
        </w:rPr>
        <w:t xml:space="preserve"> </w:t>
      </w:r>
      <w:r/>
    </w:p>
    <w:p>
      <w:pPr>
        <w:ind w:firstLine="48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1"/>
          <w:highlight w:val="none"/>
          <w:u w:val="single"/>
        </w:rPr>
        <w:t xml:space="preserve">（标的名称）</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其他未列明</w:t>
      </w:r>
      <w:r>
        <w:rPr>
          <w:rFonts w:hint="eastAsia" w:ascii="宋体" w:hAnsi="宋体" w:cs="宋体"/>
          <w:color w:val="auto"/>
          <w:sz w:val="24"/>
          <w:szCs w:val="21"/>
          <w:highlight w:val="none"/>
        </w:rPr>
        <w:t xml:space="preserve">行业；承接企业为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w:t>
      </w:r>
      <w:r>
        <w:rPr>
          <w:rFonts w:ascii="宋体" w:hAnsi="宋体" w:cs="宋体"/>
          <w:color w:val="auto"/>
          <w:sz w:val="32"/>
          <w:szCs w:val="21"/>
          <w:highlight w:val="none"/>
          <w:vertAlign w:val="superscript"/>
        </w:rPr>
        <w:t xml:space="preserve">1</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2</w:t>
      </w:r>
      <w:r>
        <w:rPr>
          <w:rFonts w:ascii="宋体" w:hAnsi="宋体" w:cs="宋体"/>
          <w:color w:val="auto"/>
          <w:sz w:val="24"/>
          <w:szCs w:val="21"/>
          <w:highlight w:val="none"/>
        </w:rPr>
        <w:t xml:space="preserve">.</w:t>
      </w:r>
      <w:r>
        <w:rPr>
          <w:rFonts w:hint="eastAsia" w:ascii="宋体" w:hAnsi="宋体" w:cs="宋体"/>
          <w:color w:val="auto"/>
          <w:sz w:val="24"/>
          <w:szCs w:val="21"/>
          <w:highlight w:val="none"/>
        </w:rPr>
        <w:t xml:space="preserve"> </w:t>
      </w:r>
      <w:r>
        <w:rPr>
          <w:rFonts w:hint="eastAsia" w:ascii="宋体" w:hAnsi="宋体" w:cs="宋体"/>
          <w:color w:val="auto"/>
          <w:sz w:val="24"/>
          <w:szCs w:val="21"/>
          <w:highlight w:val="none"/>
          <w:u w:val="single"/>
        </w:rPr>
        <w:t xml:space="preserve">（标的名称）</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其他未列明</w:t>
      </w:r>
      <w:r>
        <w:rPr>
          <w:rFonts w:hint="eastAsia" w:ascii="宋体" w:hAnsi="宋体" w:cs="宋体"/>
          <w:color w:val="auto"/>
          <w:sz w:val="24"/>
          <w:szCs w:val="21"/>
          <w:highlight w:val="none"/>
        </w:rPr>
        <w:t xml:space="preserve">行业；承接企业为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w:t>
      </w:r>
      <w:r/>
    </w:p>
    <w:p>
      <w:pPr>
        <w:ind w:firstLine="480"/>
        <w:jc w:val="left"/>
        <w:spacing w:line="360" w:lineRule="auto"/>
        <w:widowControl/>
        <w:rPr>
          <w:rFonts w:ascii="宋体" w:hAnsi="宋体" w:cs="宋体"/>
          <w:color w:val="auto"/>
          <w:sz w:val="24"/>
          <w:szCs w:val="21"/>
          <w:highlight w:val="none"/>
        </w:rPr>
      </w:pPr>
      <w:r>
        <w:rPr>
          <w:rFonts w:ascii="宋体" w:hAnsi="宋体" w:cs="宋体"/>
          <w:color w:val="auto"/>
          <w:sz w:val="24"/>
          <w:szCs w:val="21"/>
          <w:highlight w:val="none"/>
        </w:rPr>
      </w:r>
      <w:r/>
    </w:p>
    <w:p>
      <w:pPr>
        <w:ind w:firstLine="768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lang w:val="zh-CN"/>
        </w:rPr>
        <w:t xml:space="preserve">企业名称：（公章）</w:t>
      </w:r>
      <w:r>
        <w:rPr>
          <w:rFonts w:hint="eastAsia" w:ascii="宋体" w:hAnsi="宋体" w:cs="宋体"/>
          <w:color w:val="auto"/>
          <w:sz w:val="24"/>
          <w:szCs w:val="21"/>
          <w:highlight w:val="none"/>
        </w:rPr>
        <w:t xml:space="preserve">：</w:t>
      </w:r>
      <w:r/>
    </w:p>
    <w:p>
      <w:pPr>
        <w:ind w:firstLine="48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                                                                  日  期：</w:t>
      </w:r>
      <w:r/>
    </w:p>
    <w:p>
      <w:pPr>
        <w:ind w:firstLine="480"/>
        <w:jc w:val="left"/>
        <w:spacing w:line="360" w:lineRule="auto"/>
        <w:widowControl/>
        <w:rPr>
          <w:rFonts w:ascii="宋体" w:hAnsi="宋体" w:cs="宋体"/>
          <w:color w:val="auto"/>
          <w:sz w:val="24"/>
          <w:szCs w:val="21"/>
          <w:highlight w:val="none"/>
        </w:rPr>
      </w:pPr>
      <w:r>
        <w:rPr>
          <w:rFonts w:ascii="宋体" w:hAnsi="宋体" w:cs="宋体"/>
          <w:color w:val="auto"/>
          <w:sz w:val="24"/>
          <w:szCs w:val="21"/>
          <w:highlight w:val="none"/>
        </w:rPr>
      </w:r>
      <w:r/>
    </w:p>
    <w:p>
      <w:pPr>
        <w:ind w:firstLine="48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备注：</w:t>
      </w:r>
      <w:r/>
    </w:p>
    <w:p>
      <w:pPr>
        <w:jc w:val="left"/>
        <w:widowControl/>
        <w:rPr>
          <w:color w:val="auto"/>
          <w:sz w:val="24"/>
          <w:highlight w:val="none"/>
        </w:rPr>
      </w:pPr>
      <w:r>
        <w:rPr>
          <w:rFonts w:hint="eastAsia" w:ascii="宋体" w:hAnsi="宋体" w:cs="宋体"/>
          <w:color w:val="auto"/>
          <w:sz w:val="24"/>
          <w:szCs w:val="21"/>
          <w:highlight w:val="none"/>
        </w:rPr>
        <w:t xml:space="preserve">1、</w:t>
      </w:r>
      <w:r>
        <w:rPr>
          <w:rFonts w:ascii="宋体" w:hAnsi="宋体" w:cs="宋体"/>
          <w:color w:val="auto"/>
          <w:sz w:val="32"/>
          <w:szCs w:val="21"/>
          <w:highlight w:val="none"/>
          <w:vertAlign w:val="superscript"/>
        </w:rPr>
        <w:t xml:space="preserve">1</w:t>
      </w:r>
      <w:r>
        <w:rPr>
          <w:rFonts w:hint="eastAsia" w:ascii="宋体" w:hAnsi="宋体" w:cs="宋体"/>
          <w:color w:val="auto"/>
          <w:sz w:val="24"/>
          <w:szCs w:val="21"/>
          <w:highlight w:val="none"/>
        </w:rPr>
        <w:t xml:space="preserve">从业人员、营业收入、资产总额填报上一年度数据，无上一年度数据的新成立企业可不填报。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ind w:right="-159" w:firstLine="250"/>
        <w:spacing w:line="240" w:lineRule="atLeast"/>
        <w:rPr>
          <w:color w:val="auto"/>
          <w:spacing w:val="20"/>
          <w:highlight w:val="none"/>
        </w:rPr>
      </w:pPr>
      <w:r>
        <w:rPr>
          <w:color w:val="auto"/>
          <w:spacing w:val="20"/>
          <w:highlight w:val="none"/>
        </w:rPr>
      </w:r>
      <w:r/>
    </w:p>
    <w:p>
      <w:pPr>
        <w:ind w:right="-159" w:firstLine="250"/>
        <w:spacing w:line="240" w:lineRule="atLeast"/>
        <w:rPr>
          <w:color w:val="auto"/>
          <w:spacing w:val="20"/>
          <w:highlight w:val="none"/>
        </w:rPr>
      </w:pPr>
      <w:r>
        <w:rPr>
          <w:color w:val="auto"/>
          <w:spacing w:val="20"/>
          <w:highlight w:val="none"/>
        </w:rPr>
      </w:r>
      <w:r/>
    </w:p>
    <w:p>
      <w:pPr>
        <w:ind w:right="-159" w:firstLine="250"/>
        <w:spacing w:line="240" w:lineRule="atLeast"/>
        <w:rPr>
          <w:color w:val="auto"/>
          <w:spacing w:val="20"/>
          <w:highlight w:val="none"/>
        </w:rPr>
      </w:pPr>
      <w:r>
        <w:rPr>
          <w:color w:val="auto"/>
          <w:spacing w:val="20"/>
          <w:highlight w:val="none"/>
        </w:rPr>
      </w:r>
      <w:r/>
    </w:p>
    <w:p>
      <w:pPr>
        <w:jc w:val="left"/>
        <w:spacing w:line="360" w:lineRule="auto"/>
        <w:widowControl/>
        <w:rPr>
          <w:b/>
          <w:bCs/>
          <w:color w:val="auto"/>
          <w:sz w:val="24"/>
          <w:szCs w:val="21"/>
          <w:highlight w:val="none"/>
        </w:rPr>
        <w:outlineLvl w:val="0"/>
      </w:pPr>
      <w:r>
        <w:rPr>
          <w:b/>
          <w:bCs/>
          <w:color w:val="auto"/>
          <w:sz w:val="24"/>
          <w:szCs w:val="21"/>
          <w:highlight w:val="none"/>
        </w:rPr>
      </w:r>
      <w:r/>
    </w:p>
    <w:p>
      <w:pPr>
        <w:rPr>
          <w:color w:val="auto"/>
          <w:sz w:val="24"/>
          <w:szCs w:val="24"/>
          <w:highlight w:val="none"/>
        </w:rPr>
        <w:outlineLvl w:val="0"/>
      </w:pPr>
      <w:r>
        <w:rPr>
          <w:rFonts w:hint="eastAsia"/>
          <w:color w:val="auto"/>
          <w:sz w:val="24"/>
          <w:szCs w:val="21"/>
          <w:highlight w:val="none"/>
          <w:lang w:val="zh-CN"/>
        </w:rPr>
        <w:br w:type="page" w:clear="all"/>
      </w:r>
      <w:r/>
    </w:p>
    <w:p>
      <w:pPr>
        <w:jc w:val="left"/>
        <w:spacing w:line="360" w:lineRule="auto"/>
        <w:widowControl/>
        <w:rPr>
          <w:color w:val="auto"/>
          <w:sz w:val="24"/>
          <w:szCs w:val="24"/>
          <w:highlight w:val="none"/>
          <w:lang w:val="zh-CN"/>
        </w:rPr>
        <w:outlineLvl w:val="0"/>
      </w:pPr>
      <w:r>
        <w:rPr>
          <w:rFonts w:hint="eastAsia"/>
          <w:b/>
          <w:bCs/>
          <w:color w:val="auto"/>
          <w:sz w:val="24"/>
          <w:szCs w:val="21"/>
          <w:highlight w:val="none"/>
        </w:rPr>
        <w:t xml:space="preserve">格式8：</w:t>
      </w:r>
      <w:r>
        <w:rPr>
          <w:rFonts w:hint="eastAsia"/>
          <w:color w:val="auto"/>
          <w:sz w:val="24"/>
          <w:szCs w:val="21"/>
          <w:highlight w:val="none"/>
          <w:lang w:val="zh-CN"/>
        </w:rPr>
        <w:t xml:space="preserve">残疾人福利性单位声明函（如属）</w:t>
      </w:r>
      <w:r/>
    </w:p>
    <w:p>
      <w:pPr>
        <w:jc w:val="left"/>
        <w:spacing w:line="360" w:lineRule="auto"/>
        <w:widowControl/>
        <w:rPr>
          <w:b/>
          <w:bCs/>
          <w:color w:val="auto"/>
          <w:sz w:val="24"/>
          <w:szCs w:val="21"/>
          <w:highlight w:val="none"/>
        </w:rPr>
      </w:pPr>
      <w:r>
        <w:rPr>
          <w:b/>
          <w:bCs/>
          <w:color w:val="auto"/>
          <w:sz w:val="24"/>
          <w:szCs w:val="21"/>
          <w:highlight w:val="none"/>
        </w:rPr>
      </w:r>
      <w:r/>
    </w:p>
    <w:p>
      <w:pPr>
        <w:jc w:val="center"/>
        <w:spacing w:line="400" w:lineRule="exact"/>
        <w:widowControl/>
        <w:rPr>
          <w:rFonts w:ascii="宋体" w:cs="宋体"/>
          <w:b/>
          <w:color w:val="auto"/>
          <w:sz w:val="32"/>
          <w:szCs w:val="32"/>
          <w:highlight w:val="none"/>
          <w:shd w:val="clear" w:color="auto" w:fill="ffffff"/>
        </w:rPr>
      </w:pPr>
      <w:r/>
      <w:bookmarkStart w:id="19" w:name="OLE_LINK14"/>
      <w:r/>
      <w:bookmarkStart w:id="20" w:name="OLE_LINK13"/>
      <w:r>
        <w:rPr>
          <w:rFonts w:hint="eastAsia" w:ascii="宋体" w:cs="宋体"/>
          <w:b/>
          <w:color w:val="auto"/>
          <w:sz w:val="32"/>
          <w:szCs w:val="32"/>
          <w:highlight w:val="none"/>
          <w:shd w:val="clear" w:color="auto" w:fill="ffffff"/>
          <w:lang w:val="zh-CN"/>
        </w:rPr>
        <w:t xml:space="preserve">残疾人福利性单位声明函</w:t>
      </w:r>
      <w:r/>
    </w:p>
    <w:p>
      <w:pPr>
        <w:ind w:left="420" w:right="-159" w:firstLine="340"/>
        <w:spacing w:after="120"/>
        <w:rPr>
          <w:rFonts w:eastAsia="仿宋_GB2312"/>
          <w:color w:val="auto"/>
          <w:spacing w:val="20"/>
          <w:sz w:val="30"/>
          <w:highlight w:val="none"/>
        </w:rPr>
      </w:pPr>
      <w:r>
        <w:rPr>
          <w:rFonts w:eastAsia="仿宋_GB2312"/>
          <w:color w:val="auto"/>
          <w:spacing w:val="20"/>
          <w:sz w:val="30"/>
          <w:highlight w:val="none"/>
        </w:rPr>
      </w:r>
      <w:r/>
    </w:p>
    <w:p>
      <w:pPr>
        <w:jc w:val="left"/>
        <w:spacing w:line="400" w:lineRule="exact"/>
        <w:widowControl/>
        <w:rPr>
          <w:rFonts w:ascii="宋体" w:hAnsi="Courier New" w:eastAsia="楷体_GB2312"/>
          <w:color w:val="auto"/>
          <w:sz w:val="26"/>
          <w:szCs w:val="20"/>
          <w:highlight w:val="none"/>
        </w:rPr>
      </w:pPr>
      <w:r>
        <w:rPr>
          <w:rFonts w:hint="eastAsia" w:ascii="宋体" w:hAnsi="宋体"/>
          <w:color w:val="auto"/>
          <w:szCs w:val="21"/>
          <w:highlight w:val="none"/>
        </w:rPr>
        <w:t xml:space="preserve">苏州市卫康招投标咨询服务有限公司 ：</w:t>
      </w:r>
      <w:bookmarkEnd w:id="19"/>
      <w:r/>
      <w:bookmarkEnd w:id="20"/>
      <w:r/>
      <w:r/>
    </w:p>
    <w:p>
      <w:pPr>
        <w:ind w:firstLine="720"/>
        <w:jc w:val="left"/>
        <w:spacing w:line="400" w:lineRule="exact"/>
        <w:widowControl/>
        <w:rPr>
          <w:rFonts w:ascii="宋体" w:hAnsi="宋体"/>
          <w:color w:val="auto"/>
          <w:sz w:val="24"/>
          <w:szCs w:val="21"/>
          <w:highlight w:val="none"/>
        </w:rPr>
      </w:pPr>
      <w:r>
        <w:rPr>
          <w:rFonts w:ascii="宋体" w:hAnsi="宋体"/>
          <w:color w:val="auto"/>
          <w:sz w:val="24"/>
          <w:szCs w:val="21"/>
          <w:highlight w:val="none"/>
        </w:rPr>
      </w:r>
      <w:r/>
    </w:p>
    <w:p>
      <w:pPr>
        <w:ind w:firstLine="720"/>
        <w:jc w:val="left"/>
        <w:spacing w:line="400" w:lineRule="exact"/>
        <w:widowControl/>
        <w:rPr>
          <w:rFonts w:ascii="宋体" w:hAnsi="宋体"/>
          <w:color w:val="auto"/>
          <w:sz w:val="24"/>
          <w:szCs w:val="21"/>
          <w:highlight w:val="none"/>
        </w:rPr>
      </w:pPr>
      <w:r>
        <w:rPr>
          <w:rFonts w:hint="eastAsia" w:ascii="宋体" w:hAnsi="宋体"/>
          <w:color w:val="auto"/>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720"/>
        <w:jc w:val="left"/>
        <w:spacing w:line="400" w:lineRule="exact"/>
        <w:widowControl/>
        <w:rPr>
          <w:rFonts w:ascii="宋体" w:hAnsi="宋体"/>
          <w:color w:val="auto"/>
          <w:sz w:val="24"/>
          <w:szCs w:val="21"/>
          <w:highlight w:val="none"/>
        </w:rPr>
      </w:pPr>
      <w:r>
        <w:rPr>
          <w:rFonts w:hint="eastAsia" w:ascii="宋体" w:hAnsi="宋体"/>
          <w:color w:val="auto"/>
          <w:sz w:val="24"/>
          <w:szCs w:val="21"/>
          <w:highlight w:val="none"/>
          <w:lang w:val="zh-CN"/>
        </w:rPr>
        <w:t xml:space="preserve">本单位对上述声明的真实性负责。如有虚假，将依法承担相应责任。</w:t>
      </w:r>
      <w:r/>
    </w:p>
    <w:p>
      <w:pPr>
        <w:jc w:val="left"/>
        <w:spacing w:line="360" w:lineRule="auto"/>
        <w:widowControl/>
        <w:rPr>
          <w:color w:val="auto"/>
          <w:sz w:val="24"/>
          <w:szCs w:val="21"/>
          <w:highlight w:val="none"/>
        </w:rPr>
      </w:pPr>
      <w:r>
        <w:rPr>
          <w:color w:val="auto"/>
          <w:sz w:val="24"/>
          <w:szCs w:val="21"/>
          <w:highlight w:val="none"/>
        </w:rPr>
      </w:r>
      <w:r/>
    </w:p>
    <w:p>
      <w:pPr>
        <w:jc w:val="left"/>
        <w:spacing w:line="360" w:lineRule="auto"/>
        <w:widowControl/>
        <w:rPr>
          <w:color w:val="auto"/>
          <w:sz w:val="24"/>
          <w:szCs w:val="21"/>
          <w:highlight w:val="none"/>
        </w:rPr>
      </w:pPr>
      <w:r>
        <w:rPr>
          <w:color w:val="auto"/>
          <w:sz w:val="24"/>
          <w:szCs w:val="21"/>
          <w:highlight w:val="none"/>
        </w:rPr>
      </w:r>
      <w:r/>
    </w:p>
    <w:p>
      <w:pPr>
        <w:ind w:left="420" w:right="-159" w:firstLine="250"/>
        <w:spacing w:after="120"/>
        <w:rPr>
          <w:rFonts w:eastAsia="仿宋_GB2312"/>
          <w:color w:val="auto"/>
          <w:spacing w:val="20"/>
          <w:szCs w:val="21"/>
          <w:highlight w:val="none"/>
        </w:rPr>
      </w:pPr>
      <w:r>
        <w:rPr>
          <w:rFonts w:eastAsia="仿宋_GB2312"/>
          <w:color w:val="auto"/>
          <w:spacing w:val="20"/>
          <w:szCs w:val="21"/>
          <w:highlight w:val="none"/>
        </w:rPr>
      </w:r>
      <w:r/>
    </w:p>
    <w:p>
      <w:pPr>
        <w:ind w:left="420" w:right="-159" w:firstLine="250"/>
        <w:spacing w:after="120"/>
        <w:rPr>
          <w:rFonts w:eastAsia="仿宋_GB2312"/>
          <w:color w:val="auto"/>
          <w:spacing w:val="20"/>
          <w:szCs w:val="21"/>
          <w:highlight w:val="none"/>
        </w:rPr>
      </w:pPr>
      <w:r>
        <w:rPr>
          <w:rFonts w:eastAsia="仿宋_GB2312"/>
          <w:color w:val="auto"/>
          <w:spacing w:val="20"/>
          <w:szCs w:val="21"/>
          <w:highlight w:val="none"/>
        </w:rPr>
      </w:r>
      <w:r/>
    </w:p>
    <w:p>
      <w:pPr>
        <w:ind w:left="420" w:right="-159" w:firstLine="250"/>
        <w:spacing w:after="120"/>
        <w:rPr>
          <w:rFonts w:eastAsia="仿宋_GB2312"/>
          <w:color w:val="auto"/>
          <w:spacing w:val="20"/>
          <w:szCs w:val="21"/>
          <w:highlight w:val="none"/>
        </w:rPr>
      </w:pPr>
      <w:r>
        <w:rPr>
          <w:rFonts w:eastAsia="仿宋_GB2312"/>
          <w:color w:val="auto"/>
          <w:spacing w:val="20"/>
          <w:szCs w:val="21"/>
          <w:highlight w:val="none"/>
        </w:rPr>
      </w:r>
      <w:r/>
    </w:p>
    <w:p>
      <w:pPr>
        <w:jc w:val="left"/>
        <w:spacing w:line="360" w:lineRule="auto"/>
        <w:widowControl/>
        <w:rPr>
          <w:color w:val="auto"/>
          <w:sz w:val="24"/>
          <w:szCs w:val="21"/>
          <w:highlight w:val="none"/>
        </w:rPr>
      </w:pPr>
      <w:r>
        <w:rPr>
          <w:rFonts w:hint="eastAsia"/>
          <w:color w:val="auto"/>
          <w:sz w:val="24"/>
          <w:szCs w:val="21"/>
          <w:highlight w:val="none"/>
          <w:lang w:val="zh-CN"/>
        </w:rPr>
        <w:t xml:space="preserve">单位名称（盖章）：</w:t>
      </w:r>
      <w:r/>
    </w:p>
    <w:p>
      <w:pPr>
        <w:jc w:val="left"/>
        <w:spacing w:line="360" w:lineRule="auto"/>
        <w:widowControl/>
        <w:rPr>
          <w:color w:val="auto"/>
          <w:sz w:val="24"/>
          <w:szCs w:val="21"/>
          <w:highlight w:val="none"/>
        </w:rPr>
      </w:pPr>
      <w:r>
        <w:rPr>
          <w:rFonts w:hint="eastAsia"/>
          <w:color w:val="auto"/>
          <w:sz w:val="24"/>
          <w:szCs w:val="21"/>
          <w:highlight w:val="none"/>
          <w:lang w:val="zh-CN"/>
        </w:rPr>
        <w:t xml:space="preserve"> 日  期：</w:t>
      </w:r>
      <w:r/>
    </w:p>
    <w:p>
      <w:pPr>
        <w:spacing w:line="400" w:lineRule="exact"/>
        <w:rPr>
          <w:color w:val="auto"/>
          <w:szCs w:val="21"/>
          <w:highlight w:val="none"/>
        </w:rPr>
      </w:pPr>
      <w:r>
        <w:rPr>
          <w:color w:val="auto"/>
          <w:szCs w:val="21"/>
          <w:highlight w:val="none"/>
        </w:rPr>
      </w:r>
      <w:r/>
    </w:p>
    <w:p>
      <w:pPr>
        <w:ind w:firstLine="480"/>
        <w:jc w:val="left"/>
        <w:spacing w:line="400" w:lineRule="exact"/>
        <w:widowControl/>
        <w:rPr>
          <w:rFonts w:ascii="宋体" w:hAnsi="宋体"/>
          <w:color w:val="auto"/>
          <w:sz w:val="24"/>
          <w:szCs w:val="21"/>
          <w:highlight w:val="none"/>
          <w:shd w:val="clear" w:color="auto" w:fill="ffffff"/>
        </w:rPr>
      </w:pPr>
      <w:r>
        <w:rPr>
          <w:rFonts w:ascii="宋体" w:hAnsi="宋体"/>
          <w:color w:val="auto"/>
          <w:sz w:val="24"/>
          <w:szCs w:val="21"/>
          <w:highlight w:val="none"/>
          <w:shd w:val="clear" w:color="auto" w:fill="ffffff"/>
        </w:rPr>
      </w:r>
      <w:r/>
    </w:p>
    <w:p>
      <w:pPr>
        <w:ind w:left="420" w:right="-159" w:firstLine="340"/>
        <w:spacing w:after="120"/>
        <w:rPr>
          <w:rFonts w:ascii="宋体" w:hAnsi="宋体" w:eastAsia="仿宋_GB2312"/>
          <w:color w:val="auto"/>
          <w:spacing w:val="20"/>
          <w:sz w:val="30"/>
          <w:szCs w:val="21"/>
          <w:highlight w:val="none"/>
          <w:shd w:val="clear" w:color="auto" w:fill="ffffff"/>
        </w:rPr>
      </w:pPr>
      <w:r>
        <w:rPr>
          <w:rFonts w:ascii="宋体" w:hAnsi="宋体" w:eastAsia="仿宋_GB2312"/>
          <w:color w:val="auto"/>
          <w:spacing w:val="20"/>
          <w:sz w:val="30"/>
          <w:szCs w:val="21"/>
          <w:highlight w:val="none"/>
          <w:shd w:val="clear" w:color="auto" w:fill="ffffff"/>
        </w:rPr>
      </w:r>
      <w:r/>
    </w:p>
    <w:p>
      <w:pPr>
        <w:ind w:left="420" w:right="-159" w:firstLine="340"/>
        <w:spacing w:after="120"/>
        <w:rPr>
          <w:rFonts w:ascii="宋体" w:hAnsi="宋体" w:eastAsia="仿宋_GB2312"/>
          <w:color w:val="auto"/>
          <w:spacing w:val="20"/>
          <w:sz w:val="30"/>
          <w:szCs w:val="21"/>
          <w:highlight w:val="none"/>
          <w:shd w:val="clear" w:color="auto" w:fill="ffffff"/>
        </w:rPr>
      </w:pPr>
      <w:r>
        <w:rPr>
          <w:rFonts w:ascii="宋体" w:hAnsi="宋体" w:eastAsia="仿宋_GB2312"/>
          <w:color w:val="auto"/>
          <w:spacing w:val="20"/>
          <w:sz w:val="30"/>
          <w:szCs w:val="21"/>
          <w:highlight w:val="none"/>
          <w:shd w:val="clear" w:color="auto" w:fill="ffffff"/>
        </w:rPr>
      </w:r>
      <w:r/>
    </w:p>
    <w:p>
      <w:pPr>
        <w:ind w:left="420" w:right="-159" w:firstLine="340"/>
        <w:spacing w:after="120"/>
        <w:rPr>
          <w:rFonts w:ascii="宋体" w:hAnsi="宋体" w:eastAsia="仿宋_GB2312"/>
          <w:color w:val="auto"/>
          <w:spacing w:val="20"/>
          <w:sz w:val="30"/>
          <w:szCs w:val="21"/>
          <w:highlight w:val="none"/>
          <w:shd w:val="clear" w:color="auto" w:fill="ffffff"/>
        </w:rPr>
      </w:pPr>
      <w:r>
        <w:rPr>
          <w:rFonts w:ascii="宋体" w:hAnsi="宋体" w:eastAsia="仿宋_GB2312"/>
          <w:color w:val="auto"/>
          <w:spacing w:val="20"/>
          <w:sz w:val="30"/>
          <w:szCs w:val="21"/>
          <w:highlight w:val="none"/>
          <w:shd w:val="clear" w:color="auto" w:fill="ffffff"/>
        </w:rPr>
      </w:r>
      <w:r/>
    </w:p>
    <w:p>
      <w:pPr>
        <w:ind w:left="420" w:right="-159" w:firstLine="340"/>
        <w:spacing w:after="120"/>
        <w:rPr>
          <w:rFonts w:ascii="宋体" w:hAnsi="宋体" w:eastAsia="仿宋_GB2312"/>
          <w:color w:val="auto"/>
          <w:spacing w:val="20"/>
          <w:sz w:val="30"/>
          <w:szCs w:val="21"/>
          <w:highlight w:val="none"/>
          <w:shd w:val="clear" w:color="auto" w:fill="ffffff"/>
        </w:rPr>
      </w:pPr>
      <w:r>
        <w:rPr>
          <w:rFonts w:ascii="宋体" w:hAnsi="宋体" w:eastAsia="仿宋_GB2312"/>
          <w:color w:val="auto"/>
          <w:spacing w:val="20"/>
          <w:sz w:val="30"/>
          <w:szCs w:val="21"/>
          <w:highlight w:val="none"/>
          <w:shd w:val="clear" w:color="auto" w:fill="ffffff"/>
        </w:rPr>
      </w:r>
      <w:r/>
    </w:p>
    <w:p>
      <w:pPr>
        <w:ind w:left="420" w:right="-159" w:firstLine="340"/>
        <w:spacing w:after="120"/>
        <w:rPr>
          <w:rFonts w:ascii="宋体" w:hAnsi="宋体" w:eastAsia="仿宋_GB2312"/>
          <w:color w:val="auto"/>
          <w:spacing w:val="20"/>
          <w:sz w:val="30"/>
          <w:szCs w:val="21"/>
          <w:highlight w:val="none"/>
          <w:shd w:val="clear" w:color="auto" w:fill="ffffff"/>
        </w:rPr>
      </w:pPr>
      <w:r>
        <w:rPr>
          <w:rFonts w:ascii="宋体" w:hAnsi="宋体" w:eastAsia="仿宋_GB2312"/>
          <w:color w:val="auto"/>
          <w:spacing w:val="20"/>
          <w:sz w:val="30"/>
          <w:szCs w:val="21"/>
          <w:highlight w:val="none"/>
          <w:shd w:val="clear" w:color="auto" w:fill="ffffff"/>
        </w:rPr>
      </w:r>
      <w:r/>
    </w:p>
    <w:p>
      <w:pPr>
        <w:jc w:val="left"/>
        <w:spacing w:line="360" w:lineRule="auto"/>
        <w:widowControl/>
        <w:rPr>
          <w:rFonts w:ascii="宋体" w:hAnsi="宋体"/>
          <w:color w:val="auto"/>
          <w:sz w:val="24"/>
          <w:szCs w:val="21"/>
          <w:highlight w:val="none"/>
        </w:rPr>
        <w:outlineLvl w:val="0"/>
      </w:pPr>
      <w:r>
        <w:rPr>
          <w:rFonts w:ascii="宋体" w:hAnsi="宋体"/>
          <w:color w:val="auto"/>
          <w:sz w:val="24"/>
          <w:szCs w:val="21"/>
          <w:highlight w:val="none"/>
        </w:rPr>
      </w:r>
      <w:r/>
    </w:p>
    <w:p>
      <w:pPr>
        <w:jc w:val="left"/>
        <w:spacing w:line="360" w:lineRule="auto"/>
        <w:widowControl/>
        <w:rPr>
          <w:rFonts w:ascii="宋体" w:hAnsi="宋体"/>
          <w:color w:val="auto"/>
          <w:sz w:val="24"/>
          <w:szCs w:val="21"/>
          <w:highlight w:val="none"/>
        </w:rPr>
        <w:outlineLvl w:val="0"/>
      </w:pPr>
      <w:r>
        <w:rPr>
          <w:rFonts w:ascii="宋体" w:hAnsi="宋体"/>
          <w:color w:val="auto"/>
          <w:sz w:val="24"/>
          <w:szCs w:val="21"/>
          <w:highlight w:val="none"/>
        </w:rPr>
      </w:r>
      <w:r/>
    </w:p>
    <w:p>
      <w:pPr>
        <w:rPr>
          <w:rFonts w:ascii="宋体" w:hAnsi="宋体"/>
          <w:color w:val="auto"/>
          <w:sz w:val="24"/>
          <w:szCs w:val="24"/>
          <w:highlight w:val="none"/>
        </w:rPr>
        <w:outlineLvl w:val="0"/>
      </w:pPr>
      <w:r>
        <w:rPr>
          <w:rFonts w:hint="eastAsia" w:ascii="宋体" w:hAnsi="宋体"/>
          <w:color w:val="auto"/>
          <w:sz w:val="24"/>
          <w:szCs w:val="21"/>
          <w:highlight w:val="none"/>
        </w:rPr>
        <w:br w:type="page" w:clear="all"/>
      </w:r>
      <w:r/>
    </w:p>
    <w:p>
      <w:pPr>
        <w:jc w:val="left"/>
        <w:spacing w:line="360" w:lineRule="auto"/>
        <w:widowControl/>
        <w:rPr>
          <w:rFonts w:ascii="宋体" w:hAnsi="宋体"/>
          <w:color w:val="auto"/>
          <w:sz w:val="24"/>
          <w:szCs w:val="24"/>
          <w:highlight w:val="none"/>
        </w:rPr>
        <w:outlineLvl w:val="0"/>
      </w:pPr>
      <w:r>
        <w:rPr>
          <w:rFonts w:hint="eastAsia" w:ascii="宋体" w:hAnsi="宋体"/>
          <w:color w:val="auto"/>
          <w:sz w:val="24"/>
          <w:szCs w:val="21"/>
          <w:highlight w:val="none"/>
        </w:rPr>
        <w:t xml:space="preserve">格式9、投标（响应）保证承诺书</w:t>
      </w:r>
      <w:r/>
    </w:p>
    <w:p>
      <w:pPr>
        <w:jc w:val="left"/>
        <w:spacing w:line="360" w:lineRule="auto"/>
        <w:widowControl/>
        <w:rPr>
          <w:rFonts w:ascii="宋体" w:hAnsi="宋体"/>
          <w:color w:val="auto"/>
          <w:sz w:val="24"/>
          <w:szCs w:val="21"/>
          <w:highlight w:val="none"/>
        </w:rPr>
      </w:pPr>
      <w:r>
        <w:rPr>
          <w:rFonts w:ascii="宋体" w:hAnsi="宋体"/>
          <w:color w:val="auto"/>
          <w:sz w:val="24"/>
          <w:szCs w:val="21"/>
          <w:highlight w:val="none"/>
        </w:rPr>
      </w:r>
      <w:r/>
    </w:p>
    <w:p>
      <w:pPr>
        <w:jc w:val="center"/>
        <w:spacing w:line="580" w:lineRule="exact"/>
        <w:widowControl/>
        <w:rPr>
          <w:b/>
          <w:color w:val="auto"/>
          <w:spacing w:val="6"/>
          <w:sz w:val="32"/>
          <w:szCs w:val="32"/>
          <w:highlight w:val="none"/>
        </w:rPr>
      </w:pPr>
      <w:r>
        <w:rPr>
          <w:rFonts w:hint="eastAsia"/>
          <w:b/>
          <w:color w:val="auto"/>
          <w:spacing w:val="6"/>
          <w:sz w:val="32"/>
          <w:szCs w:val="32"/>
          <w:highlight w:val="none"/>
        </w:rPr>
        <w:t xml:space="preserve">投标（响应）保证承诺书</w:t>
      </w:r>
      <w:r/>
    </w:p>
    <w:p>
      <w:pPr>
        <w:jc w:val="left"/>
        <w:spacing w:line="580" w:lineRule="exact"/>
        <w:widowControl/>
        <w:rPr>
          <w:color w:val="auto"/>
          <w:sz w:val="24"/>
          <w:szCs w:val="21"/>
          <w:highlight w:val="none"/>
        </w:rPr>
      </w:pPr>
      <w:r>
        <w:rPr>
          <w:color w:val="auto"/>
          <w:sz w:val="24"/>
          <w:szCs w:val="21"/>
          <w:highlight w:val="none"/>
        </w:rPr>
      </w:r>
      <w:r/>
    </w:p>
    <w:p>
      <w:pPr>
        <w:ind w:firstLine="480"/>
        <w:jc w:val="left"/>
        <w:spacing w:line="580" w:lineRule="exact"/>
        <w:widowControl/>
        <w:rPr>
          <w:color w:val="auto"/>
          <w:sz w:val="24"/>
          <w:szCs w:val="21"/>
          <w:highlight w:val="none"/>
        </w:rPr>
      </w:pPr>
      <w:r>
        <w:rPr>
          <w:rFonts w:hint="eastAsia"/>
          <w:color w:val="auto"/>
          <w:sz w:val="24"/>
          <w:szCs w:val="21"/>
          <w:highlight w:val="none"/>
        </w:rPr>
        <w:t xml:space="preserve">致：苏州市卫康招投标咨询服务有限公司</w:t>
      </w:r>
      <w:r/>
    </w:p>
    <w:p>
      <w:pPr>
        <w:ind w:firstLine="480"/>
        <w:jc w:val="left"/>
        <w:spacing w:line="580" w:lineRule="exact"/>
        <w:widowControl/>
        <w:rPr>
          <w:color w:val="auto"/>
          <w:sz w:val="24"/>
          <w:szCs w:val="21"/>
          <w:highlight w:val="none"/>
        </w:rPr>
      </w:pPr>
      <w:r>
        <w:rPr>
          <w:rFonts w:hint="eastAsia"/>
          <w:color w:val="auto"/>
          <w:sz w:val="24"/>
          <w:szCs w:val="21"/>
          <w:highlight w:val="none"/>
        </w:rPr>
        <w:t xml:space="preserve">我（单位/本人，以下统称我单位）自愿参加</w:t>
      </w:r>
      <w:r>
        <w:rPr>
          <w:rFonts w:hint="eastAsia"/>
          <w:color w:val="auto"/>
          <w:sz w:val="24"/>
          <w:szCs w:val="21"/>
          <w:highlight w:val="none"/>
          <w:u w:val="single"/>
        </w:rPr>
        <w:t xml:space="preserve">              （项目名称和采购编号）</w:t>
      </w:r>
      <w:r>
        <w:rPr>
          <w:rFonts w:hint="eastAsia"/>
          <w:color w:val="auto"/>
          <w:sz w:val="24"/>
          <w:szCs w:val="21"/>
          <w:highlight w:val="none"/>
        </w:rPr>
        <w:t xml:space="preserve">的投标（响应）,并做出如下承诺：</w:t>
      </w:r>
      <w:r/>
    </w:p>
    <w:p>
      <w:pPr>
        <w:ind w:firstLine="480"/>
        <w:jc w:val="left"/>
        <w:spacing w:line="580" w:lineRule="exact"/>
        <w:widowControl/>
        <w:rPr>
          <w:color w:val="auto"/>
          <w:sz w:val="24"/>
          <w:szCs w:val="21"/>
          <w:highlight w:val="none"/>
        </w:rPr>
      </w:pPr>
      <w:r>
        <w:rPr>
          <w:rFonts w:hint="eastAsia"/>
          <w:color w:val="auto"/>
          <w:sz w:val="24"/>
          <w:szCs w:val="21"/>
          <w:highlight w:val="none"/>
        </w:rPr>
        <w:t xml:space="preserve">一、除不可抗力外，我单位如果发生以下行为，将在行为发生的10个工作日内，向贵方（或采购人）支付本采购文件公布的预算金额（或最高限价）的2%作为违约赔偿金。</w:t>
      </w:r>
      <w:r/>
    </w:p>
    <w:p>
      <w:pPr>
        <w:ind w:firstLine="480"/>
        <w:jc w:val="left"/>
        <w:spacing w:line="580" w:lineRule="exact"/>
        <w:widowControl/>
        <w:rPr>
          <w:color w:val="auto"/>
          <w:sz w:val="24"/>
          <w:szCs w:val="21"/>
          <w:highlight w:val="none"/>
        </w:rPr>
      </w:pPr>
      <w:r>
        <w:rPr>
          <w:rFonts w:hint="eastAsia"/>
          <w:color w:val="auto"/>
          <w:sz w:val="24"/>
          <w:szCs w:val="21"/>
          <w:highlight w:val="none"/>
        </w:rPr>
        <w:t xml:space="preserve">1.自投标（响应）截止时间至本项目发布中标（成交）公告为止，撤销投标（响应）；</w:t>
      </w:r>
      <w:r/>
    </w:p>
    <w:p>
      <w:pPr>
        <w:ind w:firstLine="480"/>
        <w:jc w:val="left"/>
        <w:spacing w:line="580" w:lineRule="exact"/>
        <w:widowControl/>
        <w:rPr>
          <w:color w:val="auto"/>
          <w:sz w:val="24"/>
          <w:szCs w:val="21"/>
          <w:highlight w:val="none"/>
        </w:rPr>
      </w:pPr>
      <w:r>
        <w:rPr>
          <w:rFonts w:hint="eastAsia"/>
          <w:color w:val="auto"/>
          <w:sz w:val="24"/>
          <w:szCs w:val="21"/>
          <w:highlight w:val="none"/>
        </w:rPr>
        <w:t xml:space="preserve">2.中标（成交）后不依法与采购人签订合同；</w:t>
      </w:r>
      <w:r/>
    </w:p>
    <w:p>
      <w:pPr>
        <w:ind w:firstLine="480"/>
        <w:jc w:val="left"/>
        <w:spacing w:line="580" w:lineRule="exact"/>
        <w:widowControl/>
        <w:rPr>
          <w:color w:val="auto"/>
          <w:sz w:val="24"/>
          <w:szCs w:val="21"/>
          <w:highlight w:val="none"/>
        </w:rPr>
      </w:pPr>
      <w:r>
        <w:rPr>
          <w:rFonts w:hint="eastAsia"/>
          <w:color w:val="auto"/>
          <w:sz w:val="24"/>
          <w:szCs w:val="21"/>
          <w:highlight w:val="none"/>
        </w:rPr>
        <w:t xml:space="preserve">3.中标（成交）后不按本采购文件规定向贵方缴纳采购代理服务费。</w:t>
      </w:r>
      <w:r/>
    </w:p>
    <w:p>
      <w:pPr>
        <w:ind w:firstLine="480"/>
        <w:jc w:val="left"/>
        <w:spacing w:line="580" w:lineRule="exact"/>
        <w:widowControl/>
        <w:rPr>
          <w:color w:val="auto"/>
          <w:sz w:val="24"/>
          <w:szCs w:val="21"/>
          <w:highlight w:val="none"/>
        </w:rPr>
      </w:pPr>
      <w:r>
        <w:rPr>
          <w:rFonts w:hint="eastAsia"/>
          <w:color w:val="auto"/>
          <w:sz w:val="24"/>
          <w:szCs w:val="21"/>
          <w:highlight w:val="none"/>
        </w:rPr>
        <w:t xml:space="preserve">二、我单位知晓上述行为的法律后果，承认本承诺书作为贵方（或采购人）要求我单位履行违约赔偿义务的依据作用。</w:t>
      </w:r>
      <w:r/>
    </w:p>
    <w:p>
      <w:pPr>
        <w:jc w:val="left"/>
        <w:spacing w:line="580" w:lineRule="exact"/>
        <w:widowControl/>
        <w:rPr>
          <w:color w:val="auto"/>
          <w:sz w:val="24"/>
          <w:szCs w:val="21"/>
          <w:highlight w:val="none"/>
        </w:rPr>
      </w:pPr>
      <w:r>
        <w:rPr>
          <w:rFonts w:hint="eastAsia"/>
          <w:color w:val="auto"/>
          <w:sz w:val="24"/>
          <w:szCs w:val="21"/>
          <w:highlight w:val="none"/>
        </w:rPr>
        <w:t xml:space="preserve">响应单位： （盖公章）</w:t>
      </w:r>
      <w:r/>
    </w:p>
    <w:p>
      <w:pPr>
        <w:jc w:val="left"/>
        <w:spacing w:line="360" w:lineRule="auto"/>
        <w:widowControl/>
        <w:rPr>
          <w:rFonts w:ascii="宋体" w:hAnsi="宋体"/>
          <w:color w:val="auto"/>
          <w:sz w:val="24"/>
          <w:szCs w:val="21"/>
          <w:highlight w:val="none"/>
        </w:rPr>
      </w:pPr>
      <w:r>
        <w:rPr>
          <w:rFonts w:hint="eastAsia" w:ascii="宋体" w:hAnsi="宋体"/>
          <w:color w:val="auto"/>
          <w:sz w:val="24"/>
          <w:szCs w:val="21"/>
          <w:highlight w:val="none"/>
        </w:rPr>
        <w:t xml:space="preserve">地址：                                                              </w:t>
      </w:r>
      <w:r/>
    </w:p>
    <w:p>
      <w:pPr>
        <w:jc w:val="left"/>
        <w:spacing w:line="360" w:lineRule="auto"/>
        <w:widowControl/>
        <w:rPr>
          <w:rFonts w:ascii="宋体" w:hAnsi="宋体"/>
          <w:color w:val="auto"/>
          <w:sz w:val="24"/>
          <w:szCs w:val="21"/>
          <w:highlight w:val="none"/>
        </w:rPr>
      </w:pPr>
      <w:r>
        <w:rPr>
          <w:rFonts w:hint="eastAsia" w:ascii="宋体" w:hAnsi="宋体"/>
          <w:color w:val="auto"/>
          <w:sz w:val="24"/>
          <w:szCs w:val="21"/>
          <w:highlight w:val="none"/>
        </w:rPr>
        <w:t xml:space="preserve">电话：       传真：                     </w:t>
      </w:r>
      <w:r/>
    </w:p>
    <w:p>
      <w:pPr>
        <w:jc w:val="left"/>
        <w:spacing w:line="360" w:lineRule="auto"/>
        <w:widowControl/>
        <w:rPr>
          <w:rFonts w:ascii="宋体" w:hAnsi="宋体"/>
          <w:color w:val="auto"/>
          <w:sz w:val="24"/>
          <w:szCs w:val="21"/>
          <w:highlight w:val="none"/>
        </w:rPr>
      </w:pPr>
      <w:r>
        <w:rPr>
          <w:rFonts w:hint="eastAsia" w:ascii="宋体" w:hAnsi="宋体"/>
          <w:color w:val="auto"/>
          <w:sz w:val="24"/>
          <w:szCs w:val="21"/>
          <w:highlight w:val="none"/>
        </w:rPr>
        <w:t xml:space="preserve">电子邮件：   邮编：                     </w:t>
      </w:r>
      <w:r/>
    </w:p>
    <w:p>
      <w:pPr>
        <w:jc w:val="left"/>
        <w:spacing w:line="360" w:lineRule="auto"/>
        <w:widowControl/>
        <w:rPr>
          <w:rFonts w:ascii="宋体" w:hAnsi="宋体"/>
          <w:color w:val="auto"/>
          <w:sz w:val="24"/>
          <w:szCs w:val="21"/>
          <w:highlight w:val="none"/>
        </w:rPr>
      </w:pPr>
      <w:r>
        <w:rPr>
          <w:rFonts w:hint="eastAsia" w:ascii="宋体" w:hAnsi="宋体"/>
          <w:color w:val="auto"/>
          <w:sz w:val="24"/>
          <w:szCs w:val="21"/>
          <w:highlight w:val="none"/>
        </w:rPr>
        <w:t xml:space="preserve">法定代表人或代理人(签字或签章)：                                 </w:t>
      </w:r>
      <w:r/>
    </w:p>
    <w:p>
      <w:pPr>
        <w:jc w:val="left"/>
        <w:spacing w:line="360" w:lineRule="auto"/>
        <w:widowControl/>
        <w:rPr>
          <w:rFonts w:ascii="宋体" w:hAnsi="宋体"/>
          <w:color w:val="auto"/>
          <w:sz w:val="24"/>
          <w:szCs w:val="21"/>
          <w:highlight w:val="none"/>
        </w:rPr>
      </w:pPr>
      <w:r>
        <w:rPr>
          <w:rFonts w:hint="eastAsia" w:ascii="宋体" w:hAnsi="宋体"/>
          <w:color w:val="auto"/>
          <w:sz w:val="24"/>
          <w:szCs w:val="21"/>
          <w:highlight w:val="none"/>
        </w:rPr>
        <w:t xml:space="preserve">日期： </w:t>
      </w:r>
      <w:r/>
    </w:p>
    <w:p>
      <w:pPr>
        <w:jc w:val="left"/>
        <w:spacing w:line="400" w:lineRule="exact"/>
        <w:rPr>
          <w:rFonts w:ascii="宋体" w:hAnsi="宋体"/>
          <w:color w:val="auto"/>
          <w:szCs w:val="21"/>
          <w:highlight w:val="none"/>
        </w:rPr>
      </w:pPr>
      <w:r>
        <w:rPr>
          <w:rFonts w:ascii="宋体" w:hAnsi="宋体"/>
          <w:color w:val="auto"/>
          <w:szCs w:val="21"/>
          <w:highlight w:val="none"/>
        </w:rPr>
      </w:r>
      <w:bookmarkEnd w:id="12"/>
      <w:r/>
      <w:bookmarkEnd w:id="15"/>
      <w:r/>
      <w:r/>
    </w:p>
    <w:p>
      <w:pPr>
        <w:jc w:val="left"/>
        <w:spacing w:line="400" w:lineRule="exact"/>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left"/>
        <w:widowControl/>
        <w:rPr>
          <w:rFonts w:ascii="宋体" w:hAnsi="宋体"/>
          <w:b/>
          <w:color w:val="auto"/>
          <w:sz w:val="36"/>
          <w:szCs w:val="36"/>
          <w:highlight w:val="none"/>
        </w:rPr>
      </w:pPr>
      <w:r/>
      <w:bookmarkStart w:id="21" w:name="_Hlk142053049"/>
      <w:r>
        <w:rPr>
          <w:rFonts w:ascii="宋体" w:hAnsi="宋体"/>
          <w:b/>
          <w:color w:val="auto"/>
          <w:sz w:val="36"/>
          <w:szCs w:val="36"/>
          <w:highlight w:val="none"/>
        </w:rPr>
        <w:br w:type="page" w:clear="all"/>
      </w:r>
      <w:r/>
    </w:p>
    <w:p>
      <w:pPr>
        <w:jc w:val="center"/>
        <w:spacing w:after="120"/>
        <w:rPr>
          <w:rFonts w:ascii="宋体" w:hAnsi="宋体"/>
          <w:b/>
          <w:color w:val="auto"/>
          <w:sz w:val="36"/>
          <w:szCs w:val="36"/>
          <w:highlight w:val="none"/>
        </w:rPr>
      </w:pPr>
      <w:r>
        <w:rPr>
          <w:rFonts w:hint="eastAsia" w:ascii="宋体" w:hAnsi="宋体"/>
          <w:b/>
          <w:color w:val="auto"/>
          <w:sz w:val="36"/>
          <w:szCs w:val="36"/>
          <w:highlight w:val="none"/>
        </w:rPr>
        <w:t xml:space="preserve">第四章 招标书</w:t>
      </w:r>
      <w:r/>
    </w:p>
    <w:p>
      <w:pPr>
        <w:ind w:firstLine="420"/>
        <w:jc w:val="left"/>
        <w:spacing w:line="400" w:lineRule="exact"/>
        <w:widowControl/>
        <w:rPr>
          <w:rFonts w:ascii="宋体" w:hAnsi="宋体" w:cs="宋体"/>
          <w:color w:val="auto"/>
          <w:szCs w:val="21"/>
          <w:highlight w:val="none"/>
        </w:rPr>
      </w:pPr>
      <w:r>
        <w:rPr>
          <w:rFonts w:hint="eastAsia" w:ascii="宋体" w:hAnsi="宋体"/>
          <w:color w:val="auto"/>
          <w:szCs w:val="21"/>
          <w:highlight w:val="none"/>
        </w:rPr>
        <w:t xml:space="preserve">受苏州市姑苏区财政局之委托，</w:t>
      </w:r>
      <w:r>
        <w:rPr>
          <w:rFonts w:hint="eastAsia" w:ascii="宋体" w:hAnsi="宋体"/>
          <w:color w:val="auto"/>
          <w:szCs w:val="21"/>
          <w:highlight w:val="none"/>
        </w:rPr>
        <w:t xml:space="preserve">苏州市卫康招投标咨询服务有限公司</w:t>
      </w:r>
      <w:r>
        <w:rPr>
          <w:rFonts w:hint="eastAsia" w:ascii="宋体" w:hAnsi="宋体"/>
          <w:color w:val="auto"/>
          <w:szCs w:val="21"/>
          <w:highlight w:val="none"/>
        </w:rPr>
        <w:t xml:space="preserve">作为采购代理机</w:t>
      </w:r>
      <w:r>
        <w:rPr>
          <w:rFonts w:hint="eastAsia" w:ascii="宋体" w:hAnsi="宋体" w:cs="宋体"/>
          <w:color w:val="auto"/>
          <w:szCs w:val="21"/>
          <w:highlight w:val="none"/>
        </w:rPr>
        <w:t xml:space="preserve">构，对</w:t>
      </w:r>
      <w:r>
        <w:rPr>
          <w:rFonts w:hint="eastAsia" w:ascii="宋体" w:hAnsi="宋体"/>
          <w:color w:val="auto"/>
          <w:szCs w:val="21"/>
          <w:highlight w:val="none"/>
        </w:rPr>
        <w:t xml:space="preserve">2025年苏州市姑苏区财政投资项目竣工结算评审委托协审服务</w:t>
      </w:r>
      <w:r>
        <w:rPr>
          <w:rFonts w:hint="eastAsia" w:ascii="宋体" w:hAnsi="宋体" w:cs="宋体"/>
          <w:color w:val="auto"/>
          <w:szCs w:val="21"/>
          <w:highlight w:val="none"/>
        </w:rPr>
        <w:t xml:space="preserve">进行国内公开招标。欢迎符合资格条件的供应商前来参加投标。</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一、采购编号：</w:t>
      </w:r>
      <w:r>
        <w:rPr>
          <w:rFonts w:hint="eastAsia" w:ascii="宋体" w:hAnsi="宋体"/>
          <w:color w:val="auto"/>
          <w:szCs w:val="21"/>
          <w:highlight w:val="none"/>
          <w:lang w:eastAsia="zh-CN"/>
        </w:rPr>
        <w:t xml:space="preserve">JSZC-320508-SZWK-G2025-0449</w:t>
      </w:r>
      <w:r>
        <w:rPr>
          <w:rFonts w:hint="eastAsia" w:ascii="宋体" w:hAnsi="宋体"/>
          <w:color w:val="auto"/>
          <w:szCs w:val="21"/>
          <w:highlight w:val="none"/>
        </w:rPr>
        <w:t xml:space="preserve">号</w:t>
      </w:r>
      <w:bookmarkStart w:id="22" w:name="_Toc142194272"/>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二、采购项目名称：</w:t>
      </w:r>
      <w:bookmarkStart w:id="23" w:name="_Hlk207112924"/>
      <w:r>
        <w:rPr>
          <w:rFonts w:hint="eastAsia" w:ascii="宋体" w:hAnsi="宋体"/>
          <w:color w:val="auto"/>
          <w:szCs w:val="21"/>
          <w:highlight w:val="none"/>
        </w:rPr>
        <w:t xml:space="preserve">2025年苏州市姑苏区财政投资项目竣工结算评审委托协审服务</w:t>
      </w:r>
      <w:bookmarkEnd w:id="23"/>
      <w:r/>
      <w:r/>
    </w:p>
    <w:p>
      <w:pPr>
        <w:pStyle w:val="736"/>
        <w:ind w:left="0" w:firstLine="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三、服务商数量：每个标段1家中标服务商。</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rPr>
        <w:t xml:space="preserve">四、</w:t>
      </w:r>
      <w:bookmarkStart w:id="24" w:name="_Hlk190159869"/>
      <w:r>
        <w:rPr>
          <w:rFonts w:hint="eastAsia" w:ascii="宋体" w:hAnsi="宋体"/>
          <w:color w:val="auto"/>
          <w:szCs w:val="21"/>
          <w:highlight w:val="none"/>
          <w:lang w:val="zh-CN"/>
        </w:rPr>
        <w:t xml:space="preserve">预算总金额：</w:t>
      </w:r>
      <w:bookmarkStart w:id="25" w:name="_Hlk207800935"/>
      <w:r>
        <w:rPr>
          <w:rFonts w:hint="eastAsia" w:ascii="宋体" w:hAnsi="宋体"/>
          <w:color w:val="auto"/>
          <w:szCs w:val="21"/>
          <w:highlight w:val="none"/>
          <w:lang w:val="zh-CN"/>
        </w:rPr>
        <w:t xml:space="preserve">人民币伍佰陆拾万元整（￥5600000.00）</w:t>
      </w:r>
      <w:bookmarkEnd w:id="24"/>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标段一：陆拾万元整（￥600000.00）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标段二：肆拾玖万元整（￥490000.00）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标段三：叁拾玖万元整（￥390000.00）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标段四：叁拾伍万元整（￥350000.00）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标段五：叁拾叁万元整（￥330000.00）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标段六：叁拾贰万元整（￥320000.00）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标段七：叁拾壹万元整（￥310000.00）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标段八：叁拾万元整（￥300000.00）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标段九：叁拾万元整（￥300000.00）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标段十：贰拾玖万元整（￥290000.00）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标段十一：贰拾捌万元整（￥280000.00）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标段十二：贰拾捌万元整（￥280000.00）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标段十三：贰拾陆万元整（￥260000.00）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标段十四：贰拾陆万元整（￥260000.00）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标段十五：贰拾伍万元整（￥250000.00）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标段十六：贰拾贰万元整（￥220000.00）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标段十七：壹拾玖万元整（￥190000.00）</w:t>
      </w:r>
      <w:r/>
    </w:p>
    <w:p>
      <w:pPr>
        <w:ind w:firstLine="420"/>
        <w:jc w:val="left"/>
        <w:spacing w:line="400" w:lineRule="exact"/>
        <w:widowControl/>
        <w:rPr>
          <w:rFonts w:ascii="宋体" w:hAnsi="宋体"/>
          <w:color w:val="auto"/>
          <w:szCs w:val="21"/>
          <w:highlight w:val="none"/>
          <w:lang w:val="zh-CN"/>
        </w:rPr>
      </w:pPr>
      <w:r>
        <w:rPr>
          <w:rFonts w:hint="eastAsia" w:ascii="宋体" w:hAnsi="宋体"/>
          <w:color w:val="auto"/>
          <w:szCs w:val="21"/>
          <w:highlight w:val="none"/>
          <w:lang w:val="zh-CN"/>
        </w:rPr>
        <w:t xml:space="preserve">标段十八：壹拾捌万元整（￥180000.00）</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最高限价：同各标段预算</w:t>
      </w:r>
      <w:bookmarkEnd w:id="22"/>
      <w:r/>
      <w:bookmarkEnd w:id="25"/>
      <w:r/>
      <w:r/>
    </w:p>
    <w:p>
      <w:pPr>
        <w:ind w:firstLine="422"/>
        <w:jc w:val="left"/>
        <w:spacing w:line="400" w:lineRule="exact"/>
        <w:widowControl/>
        <w:rPr>
          <w:rFonts w:ascii="宋体" w:hAnsi="宋体"/>
          <w:b/>
          <w:bCs/>
          <w:color w:val="auto"/>
          <w:szCs w:val="21"/>
          <w:highlight w:val="none"/>
        </w:rPr>
      </w:pPr>
      <w:r/>
      <w:bookmarkStart w:id="26" w:name="_Toc13889378"/>
      <w:r/>
      <w:bookmarkStart w:id="27" w:name="_Toc142194273"/>
      <w:r/>
      <w:bookmarkStart w:id="28" w:name="_Toc13642118"/>
      <w:r>
        <w:rPr>
          <w:rFonts w:hint="eastAsia" w:ascii="宋体" w:hAnsi="宋体"/>
          <w:b/>
          <w:bCs/>
          <w:color w:val="auto"/>
          <w:szCs w:val="21"/>
          <w:highlight w:val="none"/>
        </w:rPr>
        <w:t xml:space="preserve">四、采购要求：</w:t>
      </w:r>
      <w:bookmarkEnd w:id="26"/>
      <w:r/>
      <w:bookmarkEnd w:id="27"/>
      <w:r/>
      <w:bookmarkEnd w:id="28"/>
      <w:r/>
      <w:r/>
    </w:p>
    <w:p>
      <w:pPr>
        <w:ind w:firstLine="420"/>
        <w:jc w:val="left"/>
        <w:spacing w:line="400" w:lineRule="exact"/>
        <w:widowControl/>
        <w:rPr>
          <w:rFonts w:ascii="宋体" w:hAnsi="宋体" w:cs="宋体"/>
          <w:color w:val="auto"/>
          <w:szCs w:val="21"/>
          <w:highlight w:val="none"/>
        </w:rPr>
      </w:pPr>
      <w:r>
        <w:rPr>
          <w:rFonts w:hint="eastAsia" w:ascii="宋体" w:hAnsi="宋体"/>
          <w:color w:val="auto"/>
          <w:szCs w:val="21"/>
          <w:highlight w:val="none"/>
        </w:rPr>
        <w:t xml:space="preserve">（一）项目概况</w:t>
      </w:r>
      <w:r/>
    </w:p>
    <w:p>
      <w:pPr>
        <w:ind w:firstLine="420"/>
        <w:jc w:val="left"/>
        <w:spacing w:line="400" w:lineRule="exact"/>
        <w:widowControl/>
        <w:rPr>
          <w:rFonts w:ascii="宋体" w:hAnsi="宋体" w:cs="宋体"/>
          <w:color w:val="auto"/>
          <w:szCs w:val="21"/>
          <w:highlight w:val="none"/>
        </w:rPr>
        <w:outlineLvl w:val="1"/>
      </w:pPr>
      <w:r>
        <w:rPr>
          <w:rFonts w:hint="eastAsia" w:ascii="宋体" w:hAnsi="宋体" w:cs="宋体"/>
          <w:color w:val="auto"/>
          <w:szCs w:val="21"/>
          <w:highlight w:val="none"/>
          <w:lang w:val="zh-CN"/>
        </w:rPr>
        <w:t xml:space="preserve">本次采购为苏州市姑苏区财政局委托的</w:t>
      </w:r>
      <w:r>
        <w:rPr>
          <w:rFonts w:hint="eastAsia" w:ascii="宋体" w:hAnsi="宋体" w:cs="宋体"/>
          <w:color w:val="auto"/>
          <w:szCs w:val="21"/>
          <w:highlight w:val="none"/>
        </w:rPr>
        <w:t xml:space="preserve">2025年苏州市姑苏区财政投资项目竣工结算评审委托协审服务</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rPr>
        <w:t xml:space="preserve">每标段中标</w:t>
      </w:r>
      <w:r>
        <w:rPr>
          <w:rFonts w:hint="eastAsia" w:ascii="宋体" w:hAnsi="宋体" w:cs="宋体"/>
          <w:b/>
          <w:bCs/>
          <w:color w:val="auto"/>
          <w:szCs w:val="21"/>
          <w:highlight w:val="none"/>
          <w:lang w:val="zh-CN"/>
        </w:rPr>
        <w:t xml:space="preserve">单位数量为1家</w:t>
      </w:r>
      <w:r>
        <w:rPr>
          <w:rFonts w:hint="eastAsia" w:ascii="宋体" w:hAnsi="宋体" w:cs="宋体"/>
          <w:color w:val="auto"/>
          <w:szCs w:val="21"/>
          <w:highlight w:val="none"/>
          <w:lang w:val="zh-CN"/>
        </w:rPr>
        <w:t xml:space="preserve">。为加强财政评审工作履职所需的辅助性服务，根据政府购买服务要求采购政府投资项目</w:t>
      </w:r>
      <w:r>
        <w:rPr>
          <w:rFonts w:hint="eastAsia" w:ascii="宋体" w:hAnsi="宋体" w:cs="宋体"/>
          <w:color w:val="auto"/>
          <w:szCs w:val="21"/>
          <w:highlight w:val="none"/>
        </w:rPr>
        <w:t xml:space="preserve">协审</w:t>
      </w:r>
      <w:r>
        <w:rPr>
          <w:rFonts w:hint="eastAsia" w:ascii="宋体" w:hAnsi="宋体" w:cs="宋体"/>
          <w:color w:val="auto"/>
          <w:szCs w:val="21"/>
          <w:highlight w:val="none"/>
          <w:lang w:val="zh-CN"/>
        </w:rPr>
        <w:t xml:space="preserve">咨询服务商，服务内容包括</w:t>
      </w:r>
      <w:bookmarkStart w:id="29" w:name="_Hlk207800401"/>
      <w:r>
        <w:rPr>
          <w:rFonts w:hint="eastAsia" w:ascii="宋体" w:hAnsi="宋体" w:cs="宋体"/>
          <w:color w:val="auto"/>
          <w:szCs w:val="21"/>
          <w:highlight w:val="none"/>
          <w:lang w:val="zh-CN"/>
        </w:rPr>
        <w:t xml:space="preserve">工程竣工结算审核</w:t>
      </w:r>
      <w:bookmarkEnd w:id="29"/>
      <w:r>
        <w:rPr>
          <w:rFonts w:hint="eastAsia" w:ascii="宋体" w:hAnsi="宋体" w:cs="宋体"/>
          <w:color w:val="auto"/>
          <w:szCs w:val="21"/>
          <w:highlight w:val="none"/>
          <w:lang w:val="zh-CN"/>
        </w:rPr>
        <w:t xml:space="preserve">等咨询服务</w:t>
      </w:r>
      <w:r>
        <w:rPr>
          <w:rFonts w:hint="eastAsia" w:ascii="宋体" w:hAnsi="宋体" w:cs="宋体"/>
          <w:color w:val="auto"/>
          <w:szCs w:val="21"/>
          <w:highlight w:val="none"/>
        </w:rPr>
        <w:t xml:space="preserve">。</w:t>
      </w:r>
      <w:r/>
    </w:p>
    <w:p>
      <w:pPr>
        <w:numPr>
          <w:ilvl w:val="0"/>
          <w:numId w:val="1"/>
        </w:numPr>
        <w:ind w:firstLine="420"/>
        <w:jc w:val="left"/>
        <w:spacing w:line="400" w:lineRule="exact"/>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协审服务项目清单</w:t>
      </w:r>
      <w:r/>
    </w:p>
    <w:p>
      <w:pPr>
        <w:pStyle w:val="736"/>
        <w:rPr>
          <w:rFonts w:hint="eastAsia" w:eastAsiaTheme="minorEastAsia"/>
          <w:color w:val="auto"/>
          <w:highlight w:val="none"/>
        </w:rPr>
      </w:pPr>
      <w:r>
        <w:rPr>
          <w:rFonts w:hint="eastAsia" w:eastAsiaTheme="minorEastAsia"/>
          <w:color w:val="auto"/>
          <w:highlight w:val="none"/>
        </w:rPr>
      </w:r>
      <w:r/>
    </w:p>
    <w:tbl>
      <w:tblPr>
        <w:tblStyle w:val="75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169"/>
        <w:gridCol w:w="1701"/>
      </w:tblGrid>
      <w:tr>
        <w:trPr>
          <w:trHeight w:val="660"/>
        </w:trPr>
        <w:tc>
          <w:tcPr>
            <w:tcW w:w="0" w:type="auto"/>
            <w:vAlign w:val="center"/>
            <w:textDirection w:val="lrTb"/>
            <w:noWrap w:val="false"/>
          </w:tcPr>
          <w:p>
            <w:pPr>
              <w:jc w:val="center"/>
              <w:rPr>
                <w:b/>
                <w:bCs/>
                <w:color w:val="auto"/>
                <w:highlight w:val="none"/>
              </w:rPr>
            </w:pPr>
            <w:r>
              <w:rPr>
                <w:rFonts w:hint="eastAsia"/>
                <w:b/>
                <w:bCs/>
                <w:color w:val="auto"/>
                <w:highlight w:val="none"/>
              </w:rPr>
              <w:t xml:space="preserve">序号</w:t>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采购项目名称</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类别</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标段一</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60万元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某老旧小区改造（二期）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某城镇老旧小区微更新项目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某交叉口节点道路新建工程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5</w:t>
            </w:r>
            <w:r/>
          </w:p>
        </w:tc>
        <w:tc>
          <w:tcPr>
            <w:tcW w:w="5169" w:type="dxa"/>
            <w:vAlign w:val="center"/>
            <w:textDirection w:val="lrTb"/>
            <w:noWrap w:val="false"/>
          </w:tcPr>
          <w:p>
            <w:pPr>
              <w:rPr>
                <w:color w:val="auto"/>
                <w:highlight w:val="none"/>
              </w:rPr>
            </w:pPr>
            <w:r>
              <w:rPr>
                <w:rFonts w:hint="eastAsia"/>
                <w:color w:val="auto"/>
                <w:highlight w:val="none"/>
              </w:rPr>
              <w:t xml:space="preserve">某口袋公园建设工程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6</w:t>
            </w:r>
            <w:r/>
          </w:p>
        </w:tc>
        <w:tc>
          <w:tcPr>
            <w:tcW w:w="5169" w:type="dxa"/>
            <w:vAlign w:val="center"/>
            <w:textDirection w:val="lrTb"/>
            <w:noWrap w:val="false"/>
          </w:tcPr>
          <w:p>
            <w:pPr>
              <w:rPr>
                <w:color w:val="auto"/>
                <w:highlight w:val="none"/>
              </w:rPr>
            </w:pPr>
            <w:r>
              <w:rPr>
                <w:rFonts w:hint="eastAsia"/>
                <w:color w:val="auto"/>
                <w:highlight w:val="none"/>
              </w:rPr>
              <w:t xml:space="preserve">某电力外线接入工程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7</w:t>
            </w:r>
            <w:r/>
          </w:p>
        </w:tc>
        <w:tc>
          <w:tcPr>
            <w:tcW w:w="5169" w:type="dxa"/>
            <w:vAlign w:val="center"/>
            <w:textDirection w:val="lrTb"/>
            <w:noWrap w:val="false"/>
          </w:tcPr>
          <w:p>
            <w:pPr>
              <w:rPr>
                <w:color w:val="auto"/>
                <w:highlight w:val="none"/>
              </w:rPr>
            </w:pPr>
            <w:r>
              <w:rPr>
                <w:rFonts w:hint="eastAsia"/>
                <w:color w:val="auto"/>
                <w:highlight w:val="none"/>
              </w:rPr>
              <w:t xml:space="preserve">某中心电力外线接入工程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8</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标段二</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4</w:t>
            </w:r>
            <w:r>
              <w:rPr>
                <w:b/>
                <w:bCs/>
                <w:color w:val="auto"/>
                <w:highlight w:val="none"/>
              </w:rPr>
              <w:t xml:space="preserve">9</w:t>
            </w:r>
            <w:r>
              <w:rPr>
                <w:rFonts w:hint="eastAsia"/>
                <w:b/>
                <w:bCs/>
                <w:color w:val="auto"/>
                <w:highlight w:val="none"/>
              </w:rPr>
              <w:t xml:space="preserve">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某老旧小区改造（三期）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某实验小学改扩建项目（二期、三期）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某小区楼道无障碍设施改造</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某地块电力外线接入工程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5</w:t>
            </w:r>
            <w:r/>
          </w:p>
        </w:tc>
        <w:tc>
          <w:tcPr>
            <w:tcW w:w="5169" w:type="dxa"/>
            <w:vAlign w:val="center"/>
            <w:textDirection w:val="lrTb"/>
            <w:noWrap w:val="false"/>
          </w:tcPr>
          <w:p>
            <w:pPr>
              <w:rPr>
                <w:color w:val="auto"/>
                <w:highlight w:val="none"/>
              </w:rPr>
            </w:pPr>
            <w:r>
              <w:rPr>
                <w:rFonts w:hint="eastAsia"/>
                <w:color w:val="auto"/>
                <w:highlight w:val="none"/>
              </w:rPr>
              <w:t xml:space="preserve">某隐患房屋整治项目（一期）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6</w:t>
            </w:r>
            <w:r/>
          </w:p>
        </w:tc>
        <w:tc>
          <w:tcPr>
            <w:tcW w:w="5169" w:type="dxa"/>
            <w:vAlign w:val="center"/>
            <w:textDirection w:val="lrTb"/>
            <w:noWrap w:val="false"/>
          </w:tcPr>
          <w:p>
            <w:pPr>
              <w:rPr>
                <w:color w:val="auto"/>
                <w:highlight w:val="none"/>
              </w:rPr>
            </w:pPr>
            <w:r>
              <w:rPr>
                <w:rFonts w:hint="eastAsia"/>
                <w:color w:val="auto"/>
                <w:highlight w:val="none"/>
              </w:rPr>
              <w:t xml:space="preserve">某地块电力外线接入工程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7</w:t>
            </w:r>
            <w:r/>
          </w:p>
        </w:tc>
        <w:tc>
          <w:tcPr>
            <w:tcW w:w="5169" w:type="dxa"/>
            <w:vAlign w:val="center"/>
            <w:textDirection w:val="lrTb"/>
            <w:noWrap w:val="false"/>
          </w:tcPr>
          <w:p>
            <w:pPr>
              <w:rPr>
                <w:color w:val="auto"/>
                <w:highlight w:val="none"/>
              </w:rPr>
            </w:pPr>
            <w:r>
              <w:rPr>
                <w:rFonts w:hint="eastAsia"/>
                <w:color w:val="auto"/>
                <w:highlight w:val="none"/>
              </w:rPr>
              <w:t xml:space="preserve">某某桥新建工程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8</w:t>
            </w:r>
            <w:r/>
          </w:p>
        </w:tc>
        <w:tc>
          <w:tcPr>
            <w:tcW w:w="5169" w:type="dxa"/>
            <w:vAlign w:val="center"/>
            <w:textDirection w:val="lrTb"/>
            <w:noWrap w:val="false"/>
          </w:tcPr>
          <w:p>
            <w:pPr>
              <w:rPr>
                <w:color w:val="auto"/>
                <w:highlight w:val="none"/>
              </w:rPr>
            </w:pPr>
            <w:r>
              <w:rPr>
                <w:rFonts w:hint="eastAsia"/>
                <w:color w:val="auto"/>
                <w:highlight w:val="none"/>
              </w:rPr>
              <w:t xml:space="preserve">某街景品质提升工程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9</w:t>
            </w:r>
            <w:r/>
          </w:p>
        </w:tc>
        <w:tc>
          <w:tcPr>
            <w:tcW w:w="5169" w:type="dxa"/>
            <w:vAlign w:val="center"/>
            <w:textDirection w:val="lrTb"/>
            <w:noWrap w:val="false"/>
          </w:tcPr>
          <w:p>
            <w:pPr>
              <w:rPr>
                <w:color w:val="auto"/>
                <w:highlight w:val="none"/>
              </w:rPr>
            </w:pPr>
            <w:r>
              <w:rPr>
                <w:rFonts w:hint="eastAsia"/>
                <w:color w:val="auto"/>
                <w:highlight w:val="none"/>
              </w:rPr>
              <w:t xml:space="preserve">某地块外部工程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10</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标段三</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39万元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某快速路节点改造工程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某老旧小区改造（三期）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某校舍加固修缮项目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某人行天桥无障碍改造</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5</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标段四</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35万元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某老旧小区改造（三期）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某路架空线整治和入地工程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某地块配套设施工程二期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标段五</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33万元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某老旧小区改造（二期）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某隐患房屋整治项目（三期）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某中学校操场改造及周边改造项目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某中心城区架空线整治和入地二期工程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5</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标段六</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32万元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某老旧小区改造（三期）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某支路街巷综合改造提升工程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某环境整治项目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某绿化恢复工程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5</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标段七</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31万元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某桥下空间绿化景观提升</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某城镇老旧小区微更新项目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某楼道加装无障碍设施</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5</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标段八</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30万元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某路综合改造工程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某某街工程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某空闲地块覆绿工程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标段九</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30万元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某地块建设项目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某某路交叉口建设项目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某城镇老旧小区微更新项目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标段十</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29万元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某支路街巷架空线整治和入地工程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某绿地内设施修复更新工程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某水系防汛设施提升改造</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某地块外部10KV电缆工程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5</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标段十一</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28万元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某老旧小区改造（二期）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某街道社区卫生服务中心建设项目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某片区城市形象节点绿化提升项目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标段十二</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28万元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某中学校新建综合艺体楼</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某绿化恢复工程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某支路街巷、桥梁和古井日常养护项目一标段</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某支路街巷、桥梁和古井日常养护项目二标段</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5</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标段十三</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2</w:t>
            </w:r>
            <w:r>
              <w:rPr>
                <w:b/>
                <w:bCs/>
                <w:color w:val="auto"/>
                <w:highlight w:val="none"/>
              </w:rPr>
              <w:t xml:space="preserve">6</w:t>
            </w:r>
            <w:r>
              <w:rPr>
                <w:rFonts w:hint="eastAsia"/>
                <w:b/>
                <w:bCs/>
                <w:color w:val="auto"/>
                <w:highlight w:val="none"/>
              </w:rPr>
              <w:t xml:space="preserve">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某老旧小区改造（二期）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某驳岸改造及绿化提升</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某绿化恢复工程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标段十四</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26万元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某老旧小区改造（三期）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某片区架空线整治和入地工程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某公园地块建设项目配套市政道路工程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标段十五</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25万元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某灌木及地被更新工程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某空闲地块覆绿工程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标段十六</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22万元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某老旧小区改造</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某某段道路工程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某绿化恢复工程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标段十七</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19万元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某水巷及泵房、河道周边区域提升工程（一期）</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某驳岸防洪加固工程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某排水防涝设施提标改造工程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color w:val="auto"/>
                <w:highlight w:val="none"/>
              </w:rPr>
            </w:r>
            <w:r/>
          </w:p>
        </w:tc>
        <w:tc>
          <w:tcPr>
            <w:tcW w:w="5169" w:type="dxa"/>
            <w:vAlign w:val="center"/>
            <w:textDirection w:val="lrTb"/>
            <w:noWrap w:val="false"/>
          </w:tcPr>
          <w:p>
            <w:pPr>
              <w:jc w:val="center"/>
              <w:rPr>
                <w:b/>
                <w:bCs/>
                <w:color w:val="auto"/>
                <w:highlight w:val="none"/>
              </w:rPr>
            </w:pPr>
            <w:r>
              <w:rPr>
                <w:rFonts w:hint="eastAsia"/>
                <w:b/>
                <w:bCs/>
                <w:color w:val="auto"/>
                <w:highlight w:val="none"/>
              </w:rPr>
              <w:t xml:space="preserve">标段十八</w:t>
            </w:r>
            <w:r/>
          </w:p>
        </w:tc>
        <w:tc>
          <w:tcPr>
            <w:tcW w:w="1701" w:type="dxa"/>
            <w:vAlign w:val="center"/>
            <w:textDirection w:val="lrTb"/>
            <w:noWrap w:val="false"/>
          </w:tcPr>
          <w:p>
            <w:pPr>
              <w:jc w:val="center"/>
              <w:rPr>
                <w:b/>
                <w:bCs/>
                <w:color w:val="auto"/>
                <w:highlight w:val="none"/>
              </w:rPr>
            </w:pPr>
            <w:r>
              <w:rPr>
                <w:rFonts w:hint="eastAsia"/>
                <w:b/>
                <w:bCs/>
                <w:color w:val="auto"/>
                <w:highlight w:val="none"/>
              </w:rPr>
              <w:t xml:space="preserve">18万元</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1</w:t>
            </w:r>
            <w:r/>
          </w:p>
        </w:tc>
        <w:tc>
          <w:tcPr>
            <w:tcW w:w="5169" w:type="dxa"/>
            <w:vAlign w:val="center"/>
            <w:textDirection w:val="lrTb"/>
            <w:noWrap w:val="false"/>
          </w:tcPr>
          <w:p>
            <w:pPr>
              <w:rPr>
                <w:color w:val="auto"/>
                <w:highlight w:val="none"/>
              </w:rPr>
            </w:pPr>
            <w:r>
              <w:rPr>
                <w:rFonts w:hint="eastAsia"/>
                <w:color w:val="auto"/>
                <w:highlight w:val="none"/>
              </w:rPr>
              <w:t xml:space="preserve">某厂周边配套道路建设工程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2</w:t>
            </w:r>
            <w:r/>
          </w:p>
        </w:tc>
        <w:tc>
          <w:tcPr>
            <w:tcW w:w="5169" w:type="dxa"/>
            <w:vAlign w:val="center"/>
            <w:textDirection w:val="lrTb"/>
            <w:noWrap w:val="false"/>
          </w:tcPr>
          <w:p>
            <w:pPr>
              <w:rPr>
                <w:color w:val="auto"/>
                <w:highlight w:val="none"/>
              </w:rPr>
            </w:pPr>
            <w:r>
              <w:rPr>
                <w:rFonts w:hint="eastAsia"/>
                <w:color w:val="auto"/>
                <w:highlight w:val="none"/>
              </w:rPr>
              <w:t xml:space="preserve">某某段拓宽改造工程</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3</w:t>
            </w:r>
            <w:r/>
          </w:p>
        </w:tc>
        <w:tc>
          <w:tcPr>
            <w:tcW w:w="5169" w:type="dxa"/>
            <w:vAlign w:val="center"/>
            <w:textDirection w:val="lrTb"/>
            <w:noWrap w:val="false"/>
          </w:tcPr>
          <w:p>
            <w:pPr>
              <w:rPr>
                <w:color w:val="auto"/>
                <w:highlight w:val="none"/>
              </w:rPr>
            </w:pPr>
            <w:r>
              <w:rPr>
                <w:rFonts w:hint="eastAsia"/>
                <w:color w:val="auto"/>
                <w:highlight w:val="none"/>
              </w:rPr>
              <w:t xml:space="preserve">某河堤防加固</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4</w:t>
            </w:r>
            <w:r/>
          </w:p>
        </w:tc>
        <w:tc>
          <w:tcPr>
            <w:tcW w:w="5169" w:type="dxa"/>
            <w:vAlign w:val="center"/>
            <w:textDirection w:val="lrTb"/>
            <w:noWrap w:val="false"/>
          </w:tcPr>
          <w:p>
            <w:pPr>
              <w:rPr>
                <w:color w:val="auto"/>
                <w:highlight w:val="none"/>
              </w:rPr>
            </w:pPr>
            <w:r>
              <w:rPr>
                <w:rFonts w:hint="eastAsia"/>
                <w:color w:val="auto"/>
                <w:highlight w:val="none"/>
              </w:rPr>
              <w:t xml:space="preserve">某消防站建设项目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5</w:t>
            </w:r>
            <w:r/>
          </w:p>
        </w:tc>
        <w:tc>
          <w:tcPr>
            <w:tcW w:w="5169" w:type="dxa"/>
            <w:vAlign w:val="center"/>
            <w:textDirection w:val="lrTb"/>
            <w:noWrap w:val="false"/>
          </w:tcPr>
          <w:p>
            <w:pPr>
              <w:rPr>
                <w:color w:val="auto"/>
                <w:highlight w:val="none"/>
              </w:rPr>
            </w:pPr>
            <w:r>
              <w:rPr>
                <w:rFonts w:hint="eastAsia"/>
                <w:color w:val="auto"/>
                <w:highlight w:val="none"/>
              </w:rPr>
              <w:t xml:space="preserve">某综合整治提升项目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r>
        <w:trPr>
          <w:trHeight w:val="402"/>
        </w:trPr>
        <w:tc>
          <w:tcPr>
            <w:tcW w:w="0" w:type="auto"/>
            <w:vAlign w:val="center"/>
            <w:textDirection w:val="lrTb"/>
            <w:noWrap w:val="false"/>
          </w:tcPr>
          <w:p>
            <w:pPr>
              <w:jc w:val="center"/>
              <w:rPr>
                <w:color w:val="auto"/>
                <w:highlight w:val="none"/>
              </w:rPr>
            </w:pPr>
            <w:r>
              <w:rPr>
                <w:rFonts w:hint="eastAsia"/>
                <w:color w:val="auto"/>
                <w:highlight w:val="none"/>
              </w:rPr>
              <w:t xml:space="preserve">6</w:t>
            </w:r>
            <w:r/>
          </w:p>
        </w:tc>
        <w:tc>
          <w:tcPr>
            <w:tcW w:w="5169" w:type="dxa"/>
            <w:vAlign w:val="center"/>
            <w:textDirection w:val="lrTb"/>
            <w:noWrap w:val="false"/>
          </w:tcPr>
          <w:p>
            <w:pPr>
              <w:rPr>
                <w:color w:val="auto"/>
                <w:highlight w:val="none"/>
              </w:rPr>
            </w:pPr>
            <w:r>
              <w:rPr>
                <w:rFonts w:hint="eastAsia"/>
                <w:color w:val="auto"/>
                <w:highlight w:val="none"/>
              </w:rPr>
              <w:t xml:space="preserve">零星项目</w:t>
            </w:r>
            <w:r/>
          </w:p>
        </w:tc>
        <w:tc>
          <w:tcPr>
            <w:tcW w:w="1701" w:type="dxa"/>
            <w:vAlign w:val="center"/>
            <w:textDirection w:val="lrTb"/>
            <w:noWrap w:val="false"/>
          </w:tcPr>
          <w:p>
            <w:pPr>
              <w:rPr>
                <w:color w:val="auto"/>
                <w:highlight w:val="none"/>
              </w:rPr>
            </w:pPr>
            <w:r>
              <w:rPr>
                <w:rFonts w:hint="eastAsia"/>
                <w:color w:val="auto"/>
                <w:highlight w:val="none"/>
              </w:rPr>
              <w:t xml:space="preserve">竣工结算审核</w:t>
            </w:r>
            <w:r/>
          </w:p>
        </w:tc>
      </w:tr>
    </w:tbl>
    <w:p>
      <w:pPr>
        <w:rPr>
          <w:color w:val="auto"/>
          <w:highlight w:val="none"/>
        </w:rPr>
      </w:pPr>
      <w:r>
        <w:rPr>
          <w:color w:val="auto"/>
          <w:highlight w:val="none"/>
        </w:rPr>
      </w:r>
      <w:r/>
    </w:p>
    <w:p>
      <w:pPr>
        <w:ind w:firstLine="420"/>
        <w:jc w:val="left"/>
        <w:spacing w:line="360" w:lineRule="exact"/>
        <w:widowControl/>
        <w:rPr>
          <w:color w:val="auto"/>
          <w:szCs w:val="21"/>
          <w:highlight w:val="none"/>
        </w:rPr>
      </w:pPr>
      <w:r>
        <w:rPr>
          <w:rFonts w:hint="eastAsia"/>
          <w:color w:val="auto"/>
          <w:szCs w:val="21"/>
          <w:highlight w:val="none"/>
        </w:rPr>
        <w:t xml:space="preserve">（二）服务要求：</w:t>
      </w:r>
      <w:r/>
    </w:p>
    <w:p>
      <w:pPr>
        <w:ind w:firstLine="420"/>
        <w:jc w:val="left"/>
        <w:spacing w:line="360" w:lineRule="exact"/>
        <w:widowControl/>
        <w:rPr>
          <w:color w:val="auto"/>
          <w:szCs w:val="21"/>
          <w:highlight w:val="none"/>
        </w:rPr>
      </w:pPr>
      <w:r>
        <w:rPr>
          <w:rFonts w:hint="eastAsia"/>
          <w:color w:val="auto"/>
          <w:szCs w:val="21"/>
          <w:highlight w:val="none"/>
        </w:rPr>
        <w:t xml:space="preserve">1、受托咨询单位的责任</w:t>
      </w:r>
      <w:r/>
    </w:p>
    <w:p>
      <w:pPr>
        <w:ind w:firstLine="420"/>
        <w:jc w:val="left"/>
        <w:spacing w:line="360" w:lineRule="exact"/>
        <w:widowControl/>
        <w:rPr>
          <w:color w:val="auto"/>
          <w:szCs w:val="21"/>
          <w:highlight w:val="none"/>
        </w:rPr>
      </w:pPr>
      <w:r>
        <w:rPr>
          <w:rFonts w:hint="eastAsia"/>
          <w:color w:val="auto"/>
          <w:szCs w:val="21"/>
          <w:highlight w:val="none"/>
        </w:rPr>
        <w:t xml:space="preserve">咨询工作应当严格遵守国家的有关法律、法规、制度规定及有关执业规范要求。咨询单位对咨询结果的真实性、完整性、可靠性负责。咨询单位应保证咨询工作质量，服从采购人效率管理，咨询报告未经同意，不得自行提供给其他单位。对于咨询服务工作产生重大质量误差、咨询工作进度严重拖延、咨询工作违反各级造价行业部门规定及采购人相关规定要求，或提供不实或内容虚假的咨询结果以及自行对外提供咨询报告的，采购人将按照咨询单位违约进行惩处。情节严重的，依法提请有关部门追究咨询单位和相关责任人的行政及法律责任。</w:t>
      </w:r>
      <w:r/>
    </w:p>
    <w:p>
      <w:pPr>
        <w:ind w:firstLine="420"/>
        <w:jc w:val="left"/>
        <w:spacing w:line="360" w:lineRule="exact"/>
        <w:widowControl/>
        <w:rPr>
          <w:color w:val="auto"/>
          <w:szCs w:val="21"/>
          <w:highlight w:val="none"/>
        </w:rPr>
      </w:pPr>
      <w:r>
        <w:rPr>
          <w:rFonts w:hint="eastAsia"/>
          <w:color w:val="auto"/>
          <w:szCs w:val="21"/>
          <w:highlight w:val="none"/>
        </w:rPr>
        <w:t xml:space="preserve">如发现咨询单位或咨询人员在咨询工作中存在违法违规行为的，经查实，立即解除服务合同，相关人员纳入“咨询人员黑名单”，并通报行业主管部门处理。触犯法律的，将移交有关部门追究咨询单位和相关责任人的经济和法律责任。</w:t>
      </w:r>
      <w:r/>
    </w:p>
    <w:p>
      <w:pPr>
        <w:ind w:firstLine="420"/>
        <w:jc w:val="left"/>
        <w:spacing w:line="360" w:lineRule="exact"/>
        <w:widowControl/>
        <w:rPr>
          <w:color w:val="auto"/>
          <w:szCs w:val="21"/>
          <w:highlight w:val="none"/>
        </w:rPr>
      </w:pPr>
      <w:r>
        <w:rPr>
          <w:rFonts w:hint="eastAsia"/>
          <w:color w:val="auto"/>
          <w:szCs w:val="21"/>
          <w:highlight w:val="none"/>
        </w:rPr>
        <w:t xml:space="preserve">2、评审工作的响应</w:t>
      </w:r>
      <w:r/>
    </w:p>
    <w:p>
      <w:pPr>
        <w:ind w:firstLine="420"/>
        <w:jc w:val="left"/>
        <w:spacing w:line="360" w:lineRule="exact"/>
        <w:widowControl/>
        <w:rPr>
          <w:color w:val="auto"/>
          <w:szCs w:val="21"/>
          <w:highlight w:val="none"/>
        </w:rPr>
      </w:pPr>
      <w:r>
        <w:rPr>
          <w:rFonts w:hint="eastAsia"/>
          <w:color w:val="auto"/>
          <w:szCs w:val="21"/>
          <w:highlight w:val="none"/>
        </w:rPr>
        <w:t xml:space="preserve">为保证财政投资咨询工作效率和服务质量，咨询单位应保证咨询工作响应时间符合采购人要求，即经批准的咨询项目方案内的咨询人员从接到采购人工作指令起，到达采购人所在地（姑苏区平川路510号）或</w:t>
      </w:r>
      <w:bookmarkStart w:id="30" w:name="_Hlk98233054"/>
      <w:r>
        <w:rPr>
          <w:rFonts w:hint="eastAsia"/>
          <w:color w:val="auto"/>
          <w:szCs w:val="21"/>
          <w:highlight w:val="none"/>
        </w:rPr>
        <w:t xml:space="preserve">采购人指定的姑苏区区域的项目现场或地点</w:t>
      </w:r>
      <w:bookmarkEnd w:id="30"/>
      <w:r>
        <w:rPr>
          <w:rFonts w:hint="eastAsia"/>
          <w:color w:val="auto"/>
          <w:szCs w:val="21"/>
          <w:highlight w:val="none"/>
        </w:rPr>
        <w:t xml:space="preserve">时间不超过2小时。采购项目分布在采购人所在地周边约2小时车程范围内，因此要求咨询服务响应时间不得超过2小时。咨询单位应根据响应工作需要就近安排工作场所，并提供合理的人员组织、交通组织等响应保障方案。</w:t>
      </w:r>
      <w:r/>
    </w:p>
    <w:p>
      <w:pPr>
        <w:ind w:firstLine="420"/>
        <w:jc w:val="left"/>
        <w:spacing w:line="360" w:lineRule="exact"/>
        <w:widowControl/>
        <w:rPr>
          <w:color w:val="auto"/>
          <w:szCs w:val="21"/>
          <w:highlight w:val="none"/>
        </w:rPr>
      </w:pPr>
      <w:r>
        <w:rPr>
          <w:rFonts w:hint="eastAsia"/>
          <w:color w:val="auto"/>
          <w:szCs w:val="21"/>
          <w:highlight w:val="none"/>
        </w:rPr>
        <w:t xml:space="preserve">如中标单位在服务期内，被发现未在承诺时间内响应咨询工作（即自通知时间起至到达采购人所在地或采购人指定的姑苏区区域的项目现场或地点时间超过2小时），采购人有权终止苏州市姑苏区区级财政投资项目工程造价委托咨询服务合同，并通报行业主管部门或其他相关部门进行处理，建议将其作为行业及政府采购管理和信用评价的依据之一。</w:t>
      </w:r>
      <w:r/>
    </w:p>
    <w:p>
      <w:pPr>
        <w:ind w:firstLine="420"/>
        <w:jc w:val="left"/>
        <w:spacing w:line="360" w:lineRule="exact"/>
        <w:widowControl/>
        <w:rPr>
          <w:color w:val="auto"/>
          <w:szCs w:val="21"/>
          <w:highlight w:val="none"/>
        </w:rPr>
      </w:pPr>
      <w:r>
        <w:rPr>
          <w:rFonts w:hint="eastAsia"/>
          <w:color w:val="auto"/>
          <w:szCs w:val="21"/>
          <w:highlight w:val="none"/>
        </w:rPr>
        <w:t xml:space="preserve">3、评审人员要求</w:t>
      </w:r>
      <w:r/>
    </w:p>
    <w:p>
      <w:pPr>
        <w:ind w:firstLine="420"/>
        <w:jc w:val="left"/>
        <w:spacing w:line="360" w:lineRule="exact"/>
        <w:widowControl/>
        <w:rPr>
          <w:color w:val="auto"/>
          <w:szCs w:val="21"/>
          <w:highlight w:val="none"/>
        </w:rPr>
      </w:pPr>
      <w:r>
        <w:rPr>
          <w:rFonts w:hint="eastAsia"/>
          <w:color w:val="auto"/>
          <w:szCs w:val="21"/>
          <w:highlight w:val="none"/>
        </w:rPr>
        <w:t xml:space="preserve">中标单位须为本项目拟派造价从业人员及相关管理人员以确保采购人委托项目的顺利实施。本招标文件所指的注册一级造价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p>
    <w:p>
      <w:pPr>
        <w:ind w:firstLine="420"/>
        <w:jc w:val="left"/>
        <w:spacing w:line="360" w:lineRule="exact"/>
        <w:widowControl/>
        <w:rPr>
          <w:color w:val="auto"/>
          <w:szCs w:val="21"/>
          <w:highlight w:val="none"/>
        </w:rPr>
      </w:pPr>
      <w:r>
        <w:rPr>
          <w:rFonts w:hint="eastAsia"/>
          <w:color w:val="auto"/>
          <w:szCs w:val="21"/>
          <w:highlight w:val="none"/>
        </w:rPr>
        <w:t xml:space="preserve">其他造价从业人员是指按照行业相关规定，在江苏省范围内有效执业的造价从业人员，主要包括通过二级造价工程师考试取得职业资格并注册的，按照《造价工程师职业资格制度规定》第三十条规定取得的全国建设工程造价员资格证书、公路水运工程造价人员资格证书、水利工程造价师资格证书的，以及取得或者等同江苏省中级及以上造价员资格证书的造价从业人员。</w:t>
      </w:r>
      <w:r/>
    </w:p>
    <w:p>
      <w:pPr>
        <w:ind w:firstLine="422"/>
        <w:jc w:val="left"/>
        <w:spacing w:line="360" w:lineRule="exact"/>
        <w:widowControl/>
        <w:rPr>
          <w:b/>
          <w:bCs/>
          <w:color w:val="auto"/>
          <w:szCs w:val="21"/>
          <w:highlight w:val="none"/>
        </w:rPr>
      </w:pPr>
      <w:r>
        <w:rPr>
          <w:rFonts w:hint="eastAsia"/>
          <w:b/>
          <w:bCs/>
          <w:color w:val="auto"/>
          <w:szCs w:val="21"/>
          <w:highlight w:val="none"/>
        </w:rPr>
        <w:t xml:space="preserve">如中标单位实际投入的咨询人员与投标承诺不符，采购人有权视情况采取相应措施，包括警告、扣减咨询服务费、终止委托采购合同，通报行业主管部门或其他相关部门进行处理，并建议将其作为行业及政府采购管理和信用评价的依据之一。</w:t>
      </w:r>
      <w:r/>
    </w:p>
    <w:p>
      <w:pPr>
        <w:ind w:firstLine="420"/>
        <w:jc w:val="left"/>
        <w:spacing w:line="360" w:lineRule="exact"/>
        <w:widowControl/>
        <w:rPr>
          <w:color w:val="auto"/>
          <w:szCs w:val="21"/>
          <w:highlight w:val="none"/>
        </w:rPr>
      </w:pPr>
      <w:r>
        <w:rPr>
          <w:rFonts w:hint="eastAsia"/>
          <w:color w:val="auto"/>
          <w:szCs w:val="21"/>
          <w:highlight w:val="none"/>
        </w:rPr>
        <w:t xml:space="preserve">4、中标咨询单位完成咨询任务后，应及时按照造价行业规范做好已完项目的归档工作，包括但不限于书面图纸、电子版资料、提答疑等沟通交流资料。</w:t>
      </w:r>
      <w:r/>
    </w:p>
    <w:p>
      <w:pPr>
        <w:ind w:firstLine="420"/>
        <w:jc w:val="left"/>
        <w:spacing w:line="360" w:lineRule="exact"/>
        <w:widowControl/>
        <w:rPr>
          <w:color w:val="auto"/>
          <w:szCs w:val="21"/>
          <w:highlight w:val="none"/>
        </w:rPr>
      </w:pPr>
      <w:r>
        <w:rPr>
          <w:rFonts w:hint="eastAsia"/>
          <w:color w:val="auto"/>
          <w:szCs w:val="21"/>
          <w:highlight w:val="none"/>
        </w:rPr>
        <w:t xml:space="preserve">咨询单位在咨询工作中应履行咨询工作责任并接受姑苏区财政投资项目评审中心的业务管理。咨询工作应符合相关法律法规和规范要求，并满足委托单位的工作要求、咨询工作规范和咨询工作流程。咨询单位未履行咨询工作责任、违反本招标文件及咨询采购服务合同约定，或在工作要求、工作效率和工作质量上出现差错，采购人有权视情况采取相应措施，包括警告、扣减咨询服务费、终止委托采购合同，通报行业主管部门或其他相关部门进行处理，并建议将其作为行业及政府采购管理和信用评价的依据之一。</w:t>
      </w:r>
      <w:r/>
    </w:p>
    <w:p>
      <w:pPr>
        <w:ind w:firstLine="420"/>
        <w:jc w:val="left"/>
        <w:spacing w:line="360" w:lineRule="exact"/>
        <w:widowControl/>
        <w:rPr>
          <w:color w:val="auto"/>
          <w:szCs w:val="21"/>
          <w:highlight w:val="none"/>
        </w:rPr>
      </w:pPr>
      <w:r>
        <w:rPr>
          <w:rFonts w:hint="eastAsia"/>
          <w:color w:val="auto"/>
          <w:szCs w:val="21"/>
          <w:highlight w:val="none"/>
        </w:rPr>
        <w:t xml:space="preserve">5、履约验收</w:t>
      </w:r>
      <w:r/>
    </w:p>
    <w:p>
      <w:pPr>
        <w:ind w:firstLine="420"/>
        <w:jc w:val="left"/>
        <w:spacing w:line="360" w:lineRule="exact"/>
        <w:widowControl/>
        <w:rPr>
          <w:color w:val="auto"/>
          <w:szCs w:val="21"/>
          <w:highlight w:val="none"/>
        </w:rPr>
      </w:pPr>
      <w:r>
        <w:rPr>
          <w:rFonts w:hint="eastAsia"/>
          <w:color w:val="auto"/>
          <w:szCs w:val="21"/>
          <w:highlight w:val="none"/>
        </w:rPr>
        <w:t xml:space="preserve">按合同主要条款中约定的履约内容进行考核验收，验收结果不符合采购要求的，采购方有权终止合同，一切损失、检测费用及专家费用等由成交方承担。</w:t>
      </w:r>
      <w:r/>
    </w:p>
    <w:p>
      <w:pPr>
        <w:ind w:firstLine="420"/>
        <w:jc w:val="left"/>
        <w:spacing w:line="360" w:lineRule="exact"/>
        <w:widowControl/>
        <w:rPr>
          <w:color w:val="auto"/>
          <w:szCs w:val="21"/>
          <w:highlight w:val="none"/>
        </w:rPr>
      </w:pPr>
      <w:r>
        <w:rPr>
          <w:rFonts w:hint="eastAsia"/>
          <w:color w:val="auto"/>
          <w:szCs w:val="21"/>
          <w:highlight w:val="none"/>
        </w:rPr>
        <w:t xml:space="preserve">六、综合说明：</w:t>
      </w:r>
      <w:r/>
    </w:p>
    <w:p>
      <w:pPr>
        <w:ind w:firstLine="420"/>
        <w:jc w:val="left"/>
        <w:spacing w:line="360" w:lineRule="exact"/>
        <w:widowControl/>
        <w:rPr>
          <w:color w:val="auto"/>
          <w:szCs w:val="21"/>
          <w:highlight w:val="none"/>
        </w:rPr>
      </w:pPr>
      <w:r>
        <w:rPr>
          <w:rFonts w:hint="eastAsia"/>
          <w:color w:val="auto"/>
          <w:szCs w:val="21"/>
          <w:highlight w:val="none"/>
        </w:rPr>
        <w:t xml:space="preserve">1、中标单位须按照本招标文件的要求对该采购项目进行服务工作。</w:t>
      </w:r>
      <w:r/>
    </w:p>
    <w:p>
      <w:pPr>
        <w:ind w:firstLine="420"/>
        <w:jc w:val="left"/>
        <w:spacing w:line="360" w:lineRule="exact"/>
        <w:widowControl/>
        <w:rPr>
          <w:color w:val="auto"/>
          <w:szCs w:val="21"/>
          <w:highlight w:val="none"/>
        </w:rPr>
      </w:pPr>
      <w:r>
        <w:rPr>
          <w:rFonts w:hint="eastAsia"/>
          <w:color w:val="auto"/>
          <w:szCs w:val="21"/>
          <w:highlight w:val="none"/>
        </w:rPr>
        <w:t xml:space="preserve">2、确定中标后，采购单位有权不定期对项目的服务情况进行核查，如果发现中标单位存在违反本次采购项目要求的，采购单位有权中止合同，相关损失由中标单位承担。</w:t>
      </w:r>
      <w:r/>
    </w:p>
    <w:p>
      <w:pPr>
        <w:ind w:firstLine="420"/>
        <w:jc w:val="left"/>
        <w:spacing w:line="360" w:lineRule="exact"/>
        <w:widowControl/>
        <w:rPr>
          <w:color w:val="auto"/>
          <w:szCs w:val="21"/>
          <w:highlight w:val="none"/>
        </w:rPr>
      </w:pPr>
      <w:r>
        <w:rPr>
          <w:rFonts w:hint="eastAsia"/>
          <w:color w:val="auto"/>
          <w:szCs w:val="21"/>
          <w:highlight w:val="none"/>
        </w:rPr>
        <w:t xml:space="preserve">3、本项目投标报价填写对应标段预算（仅用于投标系统上传文件使用，不具有实际报价意义），具体协审费用按本采购文件约定内容执行。本次委托协审服务的收费标准详见附件。</w:t>
      </w:r>
      <w:r/>
    </w:p>
    <w:p>
      <w:pPr>
        <w:ind w:firstLine="420"/>
        <w:jc w:val="left"/>
        <w:spacing w:line="360" w:lineRule="exact"/>
        <w:widowControl/>
        <w:rPr>
          <w:color w:val="auto"/>
          <w:szCs w:val="21"/>
          <w:highlight w:val="none"/>
        </w:rPr>
      </w:pPr>
      <w:r>
        <w:rPr>
          <w:rFonts w:hint="eastAsia"/>
          <w:color w:val="auto"/>
          <w:szCs w:val="21"/>
          <w:highlight w:val="none"/>
        </w:rPr>
        <w:t xml:space="preserve">4、相关考核标准详见附件。</w:t>
      </w:r>
      <w:r/>
    </w:p>
    <w:p>
      <w:pPr>
        <w:ind w:firstLine="420"/>
        <w:jc w:val="left"/>
        <w:spacing w:line="360" w:lineRule="exact"/>
        <w:widowControl/>
        <w:rPr>
          <w:color w:val="auto"/>
          <w:szCs w:val="21"/>
          <w:highlight w:val="none"/>
        </w:rPr>
      </w:pPr>
      <w:r>
        <w:rPr>
          <w:rFonts w:hint="eastAsia"/>
          <w:color w:val="auto"/>
          <w:szCs w:val="21"/>
          <w:highlight w:val="none"/>
        </w:rPr>
        <w:t xml:space="preserve">5、投标文件中须提供“服务期内严格服从采购人管理”及“合同服务期内存在受贿行贿行为被执法机关认定的，采购人有权解除合同”书面承诺并加盖公章。</w:t>
      </w:r>
      <w:r/>
    </w:p>
    <w:p>
      <w:pPr>
        <w:ind w:firstLine="420"/>
        <w:jc w:val="left"/>
        <w:spacing w:line="360" w:lineRule="exact"/>
        <w:widowControl/>
        <w:rPr>
          <w:color w:val="auto"/>
          <w:szCs w:val="21"/>
          <w:highlight w:val="none"/>
        </w:rPr>
      </w:pPr>
      <w:r>
        <w:rPr>
          <w:rFonts w:hint="eastAsia"/>
          <w:color w:val="auto"/>
          <w:szCs w:val="21"/>
          <w:highlight w:val="none"/>
        </w:rPr>
        <w:t xml:space="preserve">6、具体协审费用按照本采购文件确定的协审费用标准结合《造价协审业务考核办法》考核成绩按实计取。</w:t>
      </w:r>
      <w:r/>
    </w:p>
    <w:p>
      <w:pPr>
        <w:ind w:firstLine="422"/>
        <w:jc w:val="left"/>
        <w:spacing w:line="360" w:lineRule="exact"/>
        <w:widowControl/>
        <w:rPr>
          <w:b/>
          <w:bCs/>
          <w:color w:val="auto"/>
          <w:szCs w:val="21"/>
          <w:highlight w:val="none"/>
        </w:rPr>
      </w:pPr>
      <w:r>
        <w:rPr>
          <w:rFonts w:hint="eastAsia"/>
          <w:b/>
          <w:bCs/>
          <w:color w:val="auto"/>
          <w:szCs w:val="21"/>
          <w:highlight w:val="none"/>
        </w:rPr>
        <w:t xml:space="preserve">7、本项目共计18个标段，每个标段确认1名中标单位。</w:t>
      </w:r>
      <w:r/>
    </w:p>
    <w:p>
      <w:pPr>
        <w:ind w:firstLine="422"/>
        <w:jc w:val="left"/>
        <w:spacing w:line="360" w:lineRule="exact"/>
        <w:widowControl/>
        <w:rPr>
          <w:b/>
          <w:bCs/>
          <w:color w:val="auto"/>
          <w:szCs w:val="21"/>
          <w:highlight w:val="none"/>
        </w:rPr>
      </w:pPr>
      <w:r>
        <w:rPr>
          <w:rFonts w:hint="eastAsia"/>
          <w:b/>
          <w:bCs/>
          <w:color w:val="auto"/>
          <w:szCs w:val="21"/>
          <w:highlight w:val="none"/>
        </w:rPr>
        <w:t xml:space="preserve">8、</w:t>
      </w:r>
      <w:r>
        <w:rPr>
          <w:rFonts w:hint="eastAsia"/>
          <w:b/>
          <w:bCs/>
          <w:color w:val="auto"/>
          <w:szCs w:val="21"/>
          <w:highlight w:val="none"/>
          <w:lang w:val="zh-CN"/>
        </w:rPr>
        <w:t xml:space="preserve">评标委员会将根据标段自然顺序进行评定，参与每个标段且有得标权的供应商应不少于三家，</w:t>
      </w:r>
      <w:r>
        <w:rPr>
          <w:rFonts w:hint="eastAsia"/>
          <w:b/>
          <w:bCs/>
          <w:color w:val="auto"/>
          <w:szCs w:val="21"/>
          <w:highlight w:val="none"/>
        </w:rPr>
        <w:t xml:space="preserve">否则对应标段不得开标。</w:t>
      </w:r>
      <w:r>
        <w:rPr>
          <w:rFonts w:hint="eastAsia"/>
          <w:b/>
          <w:bCs/>
          <w:color w:val="auto"/>
          <w:szCs w:val="21"/>
          <w:highlight w:val="none"/>
          <w:lang w:val="zh-CN"/>
        </w:rPr>
        <w:t xml:space="preserve">已中取前标段的投标单位将自动失去后续标段的中标资格，</w:t>
      </w:r>
      <w:r>
        <w:rPr>
          <w:rFonts w:hint="eastAsia"/>
          <w:b/>
          <w:bCs/>
          <w:color w:val="auto"/>
          <w:szCs w:val="21"/>
          <w:highlight w:val="none"/>
        </w:rPr>
        <w:t xml:space="preserve">不进入后续标段评标程序。</w:t>
      </w:r>
      <w:r/>
    </w:p>
    <w:p>
      <w:pPr>
        <w:ind w:firstLine="420"/>
        <w:jc w:val="left"/>
        <w:spacing w:line="360" w:lineRule="exact"/>
        <w:widowControl/>
        <w:rPr>
          <w:color w:val="auto"/>
          <w:szCs w:val="21"/>
          <w:highlight w:val="none"/>
        </w:rPr>
      </w:pPr>
      <w:r>
        <w:rPr>
          <w:rFonts w:hint="eastAsia"/>
          <w:color w:val="auto"/>
          <w:szCs w:val="21"/>
          <w:highlight w:val="none"/>
        </w:rPr>
        <w:t xml:space="preserve">9、凡涉及招标文件的补充说明和修改，均以政府采购网发布的通知为准。</w:t>
      </w:r>
      <w:bookmarkEnd w:id="21"/>
      <w:r/>
      <w:r/>
    </w:p>
    <w:p>
      <w:pPr>
        <w:jc w:val="left"/>
        <w:widowControl/>
        <w:rPr>
          <w:rFonts w:ascii="宋体" w:hAnsi="宋体"/>
          <w:b/>
          <w:color w:val="auto"/>
          <w:sz w:val="36"/>
          <w:szCs w:val="36"/>
          <w:highlight w:val="none"/>
        </w:rPr>
      </w:pPr>
      <w:r/>
      <w:bookmarkStart w:id="31" w:name="_Hlk142053096"/>
      <w:r>
        <w:rPr>
          <w:rFonts w:ascii="宋体" w:hAnsi="宋体"/>
          <w:b/>
          <w:color w:val="auto"/>
          <w:sz w:val="36"/>
          <w:szCs w:val="36"/>
          <w:highlight w:val="none"/>
        </w:rPr>
        <w:br w:type="page" w:clear="all"/>
      </w:r>
      <w:r/>
    </w:p>
    <w:p>
      <w:pPr>
        <w:jc w:val="center"/>
        <w:spacing w:line="400" w:lineRule="exact"/>
        <w:widowControl/>
        <w:rPr>
          <w:rFonts w:ascii="宋体" w:hAnsi="宋体"/>
          <w:b/>
          <w:color w:val="auto"/>
          <w:sz w:val="36"/>
          <w:szCs w:val="36"/>
          <w:highlight w:val="none"/>
        </w:rPr>
      </w:pPr>
      <w:r>
        <w:rPr>
          <w:rFonts w:hint="eastAsia" w:ascii="宋体" w:hAnsi="宋体"/>
          <w:b/>
          <w:color w:val="auto"/>
          <w:sz w:val="36"/>
          <w:szCs w:val="36"/>
          <w:highlight w:val="none"/>
        </w:rPr>
        <w:t xml:space="preserve">第五章 拟签订合同主要条款</w:t>
      </w:r>
      <w:r/>
    </w:p>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360" w:lineRule="exact"/>
        <w:rPr>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bookmarkEnd w:id="31"/>
      <w:r/>
      <w:r/>
    </w:p>
    <w:p>
      <w:pPr>
        <w:jc w:val="left"/>
        <w:widowControl/>
        <w:rPr>
          <w:color w:val="auto"/>
          <w:szCs w:val="21"/>
          <w:highlight w:val="none"/>
        </w:rPr>
      </w:pPr>
      <w:r>
        <w:rPr>
          <w:color w:val="auto"/>
          <w:szCs w:val="21"/>
          <w:highlight w:val="none"/>
        </w:rPr>
      </w:r>
      <w:r/>
    </w:p>
    <w:p>
      <w:pPr>
        <w:ind w:firstLine="420"/>
        <w:spacing w:line="360" w:lineRule="auto"/>
        <w:rPr>
          <w:rFonts w:ascii="宋体" w:hAnsi="宋体" w:cs="宋体"/>
          <w:color w:val="auto"/>
          <w:szCs w:val="21"/>
          <w:highlight w:val="none"/>
        </w:rPr>
      </w:pPr>
      <w:r/>
      <w:bookmarkStart w:id="32" w:name="_Hlk207722703"/>
      <w:r>
        <w:rPr>
          <w:rFonts w:hint="eastAsia" w:ascii="宋体" w:hAnsi="宋体" w:cs="宋体"/>
          <w:color w:val="auto"/>
          <w:szCs w:val="21"/>
          <w:highlight w:val="none"/>
        </w:rPr>
        <w:t xml:space="preserve">根据苏州市政府</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编号为</w:t>
      </w:r>
      <w:r>
        <w:rPr>
          <w:rFonts w:ascii="宋体" w:hAnsi="宋体" w:cs="宋体"/>
          <w:b/>
          <w:bCs/>
          <w:color w:val="auto"/>
          <w:szCs w:val="21"/>
          <w:highlight w:val="none"/>
          <w:u w:val="single"/>
        </w:rPr>
        <w:t xml:space="preserve">                    </w:t>
      </w:r>
      <w:r>
        <w:rPr>
          <w:rFonts w:hint="eastAsia" w:ascii="宋体" w:hAnsi="宋体" w:cs="宋体"/>
          <w:color w:val="auto"/>
          <w:szCs w:val="21"/>
          <w:highlight w:val="none"/>
        </w:rPr>
        <w:t xml:space="preserve">号的采购文件及该文件的投标文件和中标通知书，甲乙双方就</w:t>
      </w:r>
      <w:r>
        <w:rPr>
          <w:rFonts w:ascii="宋体" w:hAnsi="宋体" w:cs="宋体"/>
          <w:b/>
          <w:bCs/>
          <w:color w:val="auto"/>
          <w:szCs w:val="21"/>
          <w:highlight w:val="none"/>
          <w:u w:val="single"/>
        </w:rPr>
        <w:t xml:space="preserve">                          </w:t>
      </w:r>
      <w:r>
        <w:rPr>
          <w:rFonts w:hint="eastAsia" w:ascii="宋体" w:hAnsi="宋体" w:cs="宋体"/>
          <w:color w:val="auto"/>
          <w:szCs w:val="21"/>
          <w:highlight w:val="none"/>
        </w:rPr>
        <w:t xml:space="preserve">的中标事宜，签订本合同。</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一、乙方通过招投标获得</w:t>
      </w:r>
      <w:r>
        <w:rPr>
          <w:rFonts w:hint="eastAsia" w:ascii="宋体" w:hAnsi="宋体"/>
          <w:b/>
          <w:bCs/>
          <w:color w:val="auto"/>
          <w:szCs w:val="21"/>
          <w:highlight w:val="none"/>
        </w:rPr>
        <w:t xml:space="preserve">2025年苏州市姑苏区财政投资项目竣工结算评审委托协审服务</w:t>
      </w:r>
      <w:r>
        <w:rPr>
          <w:rFonts w:hint="eastAsia" w:ascii="宋体" w:hAnsi="宋体" w:cs="宋体"/>
          <w:color w:val="auto"/>
          <w:szCs w:val="21"/>
          <w:highlight w:val="none"/>
        </w:rPr>
        <w:t xml:space="preserve">供应商资格，</w:t>
      </w:r>
      <w:bookmarkStart w:id="33" w:name="_Hlk170997032"/>
      <w:r>
        <w:rPr>
          <w:rFonts w:ascii="宋体" w:hAnsi="宋体" w:cs="宋体"/>
          <w:color w:val="auto"/>
          <w:szCs w:val="21"/>
          <w:highlight w:val="none"/>
        </w:rPr>
        <w:t xml:space="preserve">完成</w:t>
      </w:r>
      <w:r>
        <w:rPr>
          <w:rFonts w:hint="eastAsia" w:ascii="宋体" w:hAnsi="宋体" w:cs="宋体"/>
          <w:color w:val="auto"/>
          <w:szCs w:val="21"/>
          <w:highlight w:val="none"/>
        </w:rPr>
        <w:t xml:space="preserve">第</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标段相应项目</w:t>
      </w:r>
      <w:r>
        <w:rPr>
          <w:rFonts w:hint="eastAsia" w:ascii="宋体" w:hAnsi="宋体"/>
          <w:color w:val="auto"/>
          <w:szCs w:val="21"/>
          <w:highlight w:val="none"/>
        </w:rPr>
        <w:t xml:space="preserve">竣工结算</w:t>
      </w:r>
      <w:r>
        <w:rPr>
          <w:rFonts w:hint="eastAsia" w:ascii="宋体" w:hAnsi="宋体" w:cs="宋体"/>
          <w:color w:val="auto"/>
          <w:szCs w:val="21"/>
          <w:highlight w:val="none"/>
        </w:rPr>
        <w:t xml:space="preserve">评审内容的协审</w:t>
      </w:r>
      <w:r>
        <w:rPr>
          <w:rFonts w:ascii="宋体" w:hAnsi="宋体" w:cs="宋体"/>
          <w:color w:val="auto"/>
          <w:szCs w:val="21"/>
          <w:highlight w:val="none"/>
        </w:rPr>
        <w:t xml:space="preserve">服务工作。</w:t>
      </w:r>
      <w:bookmarkEnd w:id="3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二、服务限期：合同签订之日起至整个标段所有协审项目全部完成。</w:t>
      </w:r>
      <w:r/>
    </w:p>
    <w:p>
      <w:pPr>
        <w:ind w:firstLine="420"/>
        <w:spacing w:line="360" w:lineRule="auto"/>
        <w:rPr>
          <w:rFonts w:ascii="等线" w:hAnsi="等线"/>
          <w:color w:val="auto"/>
          <w:szCs w:val="21"/>
          <w:highlight w:val="none"/>
        </w:rPr>
      </w:pPr>
      <w:r>
        <w:rPr>
          <w:rFonts w:hint="eastAsia" w:ascii="宋体" w:hAnsi="宋体" w:cs="宋体"/>
          <w:color w:val="auto"/>
          <w:szCs w:val="21"/>
          <w:highlight w:val="none"/>
        </w:rPr>
        <w:t xml:space="preserve">三、本标段合同金额暂定为：人民币（大写）</w:t>
      </w:r>
      <w:r>
        <w:rPr>
          <w:rFonts w:hint="eastAsia" w:ascii="宋体" w:hAnsi="宋体" w:cs="宋体"/>
          <w:b/>
          <w:bCs/>
          <w:color w:val="auto"/>
          <w:szCs w:val="21"/>
          <w:highlight w:val="none"/>
          <w:u w:val="single"/>
        </w:rPr>
        <w:t xml:space="preserve">X拾X万X仟X佰X元整（￥XXXXXX.00）</w:t>
      </w:r>
      <w:r>
        <w:rPr>
          <w:rFonts w:hint="eastAsia" w:ascii="宋体" w:hAnsi="宋体" w:cs="宋体"/>
          <w:color w:val="auto"/>
          <w:szCs w:val="21"/>
          <w:highlight w:val="none"/>
        </w:rPr>
        <w:t xml:space="preserve">。</w:t>
      </w:r>
      <w:bookmarkStart w:id="34" w:name="_Hlk207716939"/>
      <w:r>
        <w:rPr>
          <w:rFonts w:ascii="宋体" w:hAnsi="宋体" w:cs="宋体"/>
          <w:color w:val="auto"/>
          <w:szCs w:val="21"/>
          <w:highlight w:val="none"/>
        </w:rPr>
        <w:t xml:space="preserve">具体协审</w:t>
      </w:r>
      <w:r>
        <w:rPr>
          <w:rFonts w:hint="eastAsia" w:ascii="宋体" w:hAnsi="宋体" w:cs="宋体"/>
          <w:color w:val="auto"/>
          <w:szCs w:val="21"/>
          <w:highlight w:val="none"/>
        </w:rPr>
        <w:t xml:space="preserve">服务</w:t>
      </w:r>
      <w:r>
        <w:rPr>
          <w:rFonts w:ascii="宋体" w:hAnsi="宋体" w:cs="宋体"/>
          <w:color w:val="auto"/>
          <w:szCs w:val="21"/>
          <w:highlight w:val="none"/>
        </w:rPr>
        <w:t xml:space="preserve">费用依据招标文件中明确的计费方式,</w:t>
      </w:r>
      <w:r>
        <w:rPr>
          <w:rFonts w:hint="eastAsia" w:ascii="宋体" w:hAnsi="宋体" w:cs="宋体"/>
          <w:color w:val="auto"/>
          <w:szCs w:val="21"/>
          <w:highlight w:val="none"/>
        </w:rPr>
        <w:t xml:space="preserve">结合</w:t>
      </w:r>
      <w:r>
        <w:rPr>
          <w:rFonts w:ascii="宋体" w:hAnsi="宋体" w:cs="宋体"/>
          <w:color w:val="auto"/>
          <w:szCs w:val="21"/>
          <w:highlight w:val="none"/>
        </w:rPr>
        <w:t xml:space="preserve">委托项目考核情况</w:t>
      </w:r>
      <w:r>
        <w:rPr>
          <w:rFonts w:hint="eastAsia" w:ascii="宋体" w:hAnsi="宋体" w:cs="宋体"/>
          <w:color w:val="auto"/>
          <w:szCs w:val="21"/>
          <w:highlight w:val="none"/>
        </w:rPr>
        <w:t xml:space="preserve">进行结算</w:t>
      </w:r>
      <w:r>
        <w:rPr>
          <w:rFonts w:ascii="宋体" w:hAnsi="宋体" w:cs="宋体"/>
          <w:color w:val="auto"/>
          <w:szCs w:val="21"/>
          <w:highlight w:val="none"/>
        </w:rPr>
        <w:t xml:space="preserve">。</w:t>
      </w:r>
      <w:r>
        <w:rPr>
          <w:rFonts w:hint="eastAsia" w:ascii="宋体" w:hAnsi="宋体" w:cs="宋体"/>
          <w:color w:val="auto"/>
          <w:szCs w:val="21"/>
          <w:highlight w:val="none"/>
        </w:rPr>
        <w:t xml:space="preserve">服务期内，如因政策、不可抗力等原因造成中标标段内服务项目被变更、取消、延误等情况，甲方不承担相应赔偿责任，乙方不得向甲方索赔任何费用。若中标标段内项目完成</w:t>
      </w:r>
      <w:r>
        <w:rPr>
          <w:rFonts w:hint="eastAsia"/>
          <w:color w:val="auto"/>
          <w:highlight w:val="none"/>
        </w:rPr>
        <w:t xml:space="preserve">协审费用结算总额超出中标标段预算限额的，超出部分不再另行结算。</w:t>
      </w:r>
      <w:bookmarkEnd w:id="34"/>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四、合同款项支付</w:t>
      </w:r>
      <w:r/>
    </w:p>
    <w:p>
      <w:pPr>
        <w:ind w:firstLine="425"/>
        <w:spacing w:line="360" w:lineRule="auto"/>
        <w:widowControl/>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.乙方账户信息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户名：</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开户行：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账号：</w:t>
      </w:r>
      <w:r/>
    </w:p>
    <w:p>
      <w:pPr>
        <w:ind w:left="55" w:firstLine="425"/>
        <w:spacing w:line="360" w:lineRule="auto"/>
        <w:rPr>
          <w:rFonts w:ascii="宋体" w:hAnsi="宋体"/>
          <w:bCs/>
          <w:color w:val="auto"/>
          <w:szCs w:val="21"/>
          <w:highlight w:val="none"/>
        </w:rPr>
      </w:pPr>
      <w:r>
        <w:rPr>
          <w:rFonts w:hint="eastAsia" w:ascii="宋体" w:hAnsi="宋体"/>
          <w:bCs/>
          <w:color w:val="auto"/>
          <w:szCs w:val="21"/>
          <w:highlight w:val="none"/>
        </w:rPr>
        <w:t xml:space="preserve">银行数字钱包ID：</w:t>
      </w:r>
      <w:r>
        <w:rPr>
          <w:rFonts w:ascii="宋体" w:hAnsi="宋体"/>
          <w:bCs/>
          <w:color w:val="auto"/>
          <w:szCs w:val="21"/>
          <w:highlight w:val="none"/>
        </w:rPr>
        <w:t xml:space="preserve"> </w:t>
      </w:r>
      <w:r/>
    </w:p>
    <w:p>
      <w:pPr>
        <w:ind w:firstLine="425"/>
        <w:spacing w:line="360" w:lineRule="auto"/>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付款程序</w:t>
      </w:r>
      <w:r/>
    </w:p>
    <w:p>
      <w:pPr>
        <w:ind w:firstLine="425"/>
        <w:spacing w:line="360" w:lineRule="auto"/>
        <w:widowControl/>
        <w:rPr>
          <w:rFonts w:ascii="宋体" w:hAnsi="宋体"/>
          <w:color w:val="auto"/>
          <w:szCs w:val="21"/>
          <w:highlight w:val="none"/>
        </w:rPr>
      </w:pPr>
      <w:r>
        <w:rPr>
          <w:rFonts w:hint="eastAsia" w:ascii="宋体" w:hAnsi="宋体"/>
          <w:color w:val="auto"/>
          <w:szCs w:val="21"/>
          <w:highlight w:val="none"/>
        </w:rPr>
        <w:t xml:space="preserve">待乙方完成标段内单个子项协审服务后，甲方对乙方的协审服务按照</w:t>
      </w:r>
      <w:bookmarkStart w:id="35" w:name="OLE_LINK5"/>
      <w:r/>
      <w:bookmarkStart w:id="36" w:name="_Hlk192073414"/>
      <w:r/>
      <w:bookmarkStart w:id="37" w:name="_Hlk207717079"/>
      <w:r>
        <w:rPr>
          <w:rFonts w:hint="eastAsia" w:ascii="宋体" w:hAnsi="宋体"/>
          <w:color w:val="auto"/>
          <w:szCs w:val="21"/>
          <w:highlight w:val="none"/>
        </w:rPr>
        <w:t xml:space="preserve">姑苏区财政投资项目工程结算协审考核办法</w:t>
      </w:r>
      <w:bookmarkEnd w:id="35"/>
      <w:r>
        <w:rPr>
          <w:rFonts w:hint="eastAsia" w:ascii="宋体" w:hAnsi="宋体"/>
          <w:color w:val="auto"/>
          <w:szCs w:val="21"/>
          <w:highlight w:val="none"/>
        </w:rPr>
        <w:t xml:space="preserve">、</w:t>
      </w:r>
      <w:bookmarkEnd w:id="36"/>
      <w:r/>
      <w:bookmarkStart w:id="38" w:name="OLE_LINK4"/>
      <w:r>
        <w:rPr>
          <w:rFonts w:hint="eastAsia" w:ascii="宋体" w:hAnsi="宋体"/>
          <w:color w:val="auto"/>
          <w:szCs w:val="21"/>
          <w:highlight w:val="none"/>
        </w:rPr>
        <w:t xml:space="preserve">姑苏区财政投资项目工程竣工结算审核协审工作考核表</w:t>
      </w:r>
      <w:bookmarkEnd w:id="37"/>
      <w:r/>
      <w:bookmarkEnd w:id="38"/>
      <w:r>
        <w:rPr>
          <w:rFonts w:hint="eastAsia" w:ascii="宋体" w:hAnsi="宋体"/>
          <w:color w:val="auto"/>
          <w:szCs w:val="21"/>
          <w:highlight w:val="none"/>
        </w:rPr>
        <w:t xml:space="preserve">予以考核，根据考核结果结合工程造价咨询协审服务付费标准结算协审费用，并出具协审费用确认单。甲、乙双方待出具下列单据后支付协审业务费：</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olor w:val="auto"/>
          <w:szCs w:val="21"/>
          <w:highlight w:val="none"/>
        </w:rPr>
        <w:t xml:space="preserve">甲乙双方签章的协审费用确认单；</w:t>
      </w:r>
      <w:r/>
    </w:p>
    <w:p>
      <w:pPr>
        <w:ind w:firstLine="425"/>
        <w:spacing w:line="360" w:lineRule="auto"/>
        <w:widowControl/>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合格的发票。</w:t>
      </w:r>
      <w:r/>
    </w:p>
    <w:p>
      <w:pPr>
        <w:ind w:firstLine="425"/>
        <w:spacing w:line="360" w:lineRule="auto"/>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.付款方式：数字人民币支付或银行转账。</w:t>
      </w:r>
      <w:r/>
    </w:p>
    <w:p>
      <w:pPr>
        <w:ind w:firstLine="425"/>
        <w:spacing w:line="360" w:lineRule="auto"/>
        <w:widowControl/>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税费：根据现行税法规定对乙方征收的、与本合同有关的一切税费，均由乙方负担。</w:t>
      </w:r>
      <w:r/>
    </w:p>
    <w:p>
      <w:pPr>
        <w:ind w:firstLine="425"/>
        <w:spacing w:line="360" w:lineRule="auto"/>
        <w:widowControl/>
        <w:rPr>
          <w:rFonts w:ascii="宋体" w:hAnsi="宋体"/>
          <w:color w:val="auto"/>
          <w:szCs w:val="21"/>
          <w:highlight w:val="none"/>
        </w:rPr>
      </w:pPr>
      <w:r>
        <w:rPr>
          <w:rFonts w:hint="eastAsia" w:ascii="宋体" w:hAnsi="宋体"/>
          <w:color w:val="auto"/>
          <w:szCs w:val="21"/>
          <w:highlight w:val="none"/>
        </w:rPr>
        <w:t xml:space="preserve">五、合同预付款</w:t>
      </w:r>
      <w:r/>
    </w:p>
    <w:p>
      <w:pPr>
        <w:ind w:firstLine="425"/>
        <w:spacing w:line="360" w:lineRule="auto"/>
        <w:widowControl/>
        <w:rPr>
          <w:rFonts w:ascii="宋体" w:hAnsi="宋体"/>
          <w:color w:val="auto"/>
          <w:szCs w:val="21"/>
          <w:highlight w:val="none"/>
        </w:rPr>
      </w:pPr>
      <w:r>
        <w:rPr>
          <w:rFonts w:hint="eastAsia" w:ascii="宋体" w:hAnsi="宋体"/>
          <w:color w:val="auto"/>
          <w:szCs w:val="21"/>
          <w:highlight w:val="none"/>
        </w:rPr>
        <w:t xml:space="preserve">待合同签订生效后，甲方支付合同金额的</w:t>
      </w:r>
      <w:r>
        <w:rPr>
          <w:rFonts w:ascii="宋体" w:hAnsi="宋体"/>
          <w:color w:val="auto"/>
          <w:szCs w:val="21"/>
          <w:highlight w:val="none"/>
        </w:rPr>
        <w:t xml:space="preserve">30</w:t>
      </w:r>
      <w:r>
        <w:rPr>
          <w:rFonts w:hint="eastAsia" w:ascii="宋体" w:hAnsi="宋体"/>
          <w:color w:val="auto"/>
          <w:szCs w:val="21"/>
          <w:highlight w:val="none"/>
        </w:rPr>
        <w:t xml:space="preserve">%作为预付款，预付款将从第一笔（期）待支付的进度款款项中扣除。</w:t>
      </w:r>
      <w:r/>
    </w:p>
    <w:p>
      <w:pPr>
        <w:ind w:firstLine="425"/>
        <w:spacing w:line="360" w:lineRule="auto"/>
        <w:widowControl/>
        <w:rPr>
          <w:rFonts w:ascii="宋体" w:hAnsi="宋体"/>
          <w:color w:val="auto"/>
          <w:szCs w:val="21"/>
          <w:highlight w:val="none"/>
        </w:rPr>
      </w:pPr>
      <w:r>
        <w:rPr>
          <w:rFonts w:hint="eastAsia" w:ascii="宋体" w:hAnsi="宋体"/>
          <w:b/>
          <w:color w:val="auto"/>
          <w:szCs w:val="21"/>
          <w:highlight w:val="none"/>
        </w:rPr>
        <w:t xml:space="preserve">在签订合同时，乙方明确表示无需预付款或者主动要求降低预付款比例的，甲方可不适用上述关于预付款的规定。</w:t>
      </w:r>
      <w:r/>
    </w:p>
    <w:p>
      <w:pPr>
        <w:ind w:firstLine="425"/>
        <w:spacing w:line="360" w:lineRule="auto"/>
        <w:widowControl/>
        <w:rPr>
          <w:rFonts w:ascii="宋体" w:hAnsi="宋体"/>
          <w:color w:val="auto"/>
          <w:szCs w:val="21"/>
          <w:highlight w:val="none"/>
        </w:rPr>
      </w:pPr>
      <w:r>
        <w:rPr>
          <w:rFonts w:hint="eastAsia" w:ascii="宋体" w:hAnsi="宋体"/>
          <w:color w:val="auto"/>
          <w:szCs w:val="21"/>
          <w:highlight w:val="none"/>
        </w:rPr>
        <w:t xml:space="preserve">六、下列文件应视为构成并作为阅读和理解本合同书的组成部分，即</w:t>
      </w:r>
      <w:r>
        <w:rPr>
          <w:rFonts w:ascii="宋体" w:hAnsi="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1.本合同书</w:t>
      </w:r>
      <w:r>
        <w:rPr>
          <w:rFonts w:hint="eastAsia" w:ascii="宋体" w:hAnsi="宋体" w:cs="宋体"/>
          <w:color w:val="auto"/>
          <w:szCs w:val="21"/>
          <w:highlight w:val="none"/>
        </w:rPr>
        <w:t xml:space="preserve">及其附件；</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2.中标通知书</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3.投标文件及其附件（含</w:t>
      </w:r>
      <w:r>
        <w:rPr>
          <w:rFonts w:hint="eastAsia" w:ascii="宋体" w:hAnsi="宋体" w:cs="宋体"/>
          <w:color w:val="auto"/>
          <w:szCs w:val="21"/>
          <w:highlight w:val="none"/>
        </w:rPr>
        <w:t xml:space="preserve">乙方</w:t>
      </w:r>
      <w:r>
        <w:rPr>
          <w:rFonts w:ascii="宋体" w:hAnsi="宋体" w:cs="宋体"/>
          <w:color w:val="auto"/>
          <w:szCs w:val="21"/>
          <w:highlight w:val="none"/>
        </w:rPr>
        <w:t xml:space="preserve">在评标期</w:t>
      </w:r>
      <w:r>
        <w:rPr>
          <w:rFonts w:hint="eastAsia" w:ascii="宋体" w:hAnsi="宋体" w:cs="宋体"/>
          <w:color w:val="auto"/>
          <w:szCs w:val="21"/>
          <w:highlight w:val="none"/>
        </w:rPr>
        <w:t xml:space="preserve">间</w:t>
      </w:r>
      <w:r>
        <w:rPr>
          <w:rFonts w:ascii="宋体" w:hAnsi="宋体" w:cs="宋体"/>
          <w:color w:val="auto"/>
          <w:szCs w:val="21"/>
          <w:highlight w:val="none"/>
        </w:rPr>
        <w:t xml:space="preserve">递</w:t>
      </w:r>
      <w:r>
        <w:rPr>
          <w:rFonts w:hint="eastAsia" w:ascii="宋体" w:hAnsi="宋体" w:cs="宋体"/>
          <w:color w:val="auto"/>
          <w:szCs w:val="21"/>
          <w:highlight w:val="none"/>
        </w:rPr>
        <w:t xml:space="preserve">交</w:t>
      </w:r>
      <w:r>
        <w:rPr>
          <w:rFonts w:ascii="宋体" w:hAnsi="宋体" w:cs="宋体"/>
          <w:color w:val="auto"/>
          <w:szCs w:val="21"/>
          <w:highlight w:val="none"/>
        </w:rPr>
        <w:t xml:space="preserve">和确认并经</w:t>
      </w:r>
      <w:r>
        <w:rPr>
          <w:rFonts w:hint="eastAsia" w:ascii="宋体" w:hAnsi="宋体" w:cs="宋体"/>
          <w:color w:val="auto"/>
          <w:szCs w:val="21"/>
          <w:highlight w:val="none"/>
        </w:rPr>
        <w:t xml:space="preserve">甲方</w:t>
      </w:r>
      <w:r>
        <w:rPr>
          <w:rFonts w:ascii="宋体" w:hAnsi="宋体" w:cs="宋体"/>
          <w:color w:val="auto"/>
          <w:szCs w:val="21"/>
          <w:highlight w:val="none"/>
        </w:rPr>
        <w:t xml:space="preserve">同意的对有关问题的补充资料和澄清文件等，如果有）</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4.招标文件。</w:t>
      </w:r>
      <w:r/>
    </w:p>
    <w:p>
      <w:pPr>
        <w:ind w:firstLine="425"/>
        <w:spacing w:line="360" w:lineRule="auto"/>
        <w:widowControl/>
        <w:rPr>
          <w:rFonts w:ascii="宋体" w:hAnsi="宋体"/>
          <w:color w:val="auto"/>
          <w:szCs w:val="21"/>
          <w:highlight w:val="none"/>
        </w:rPr>
      </w:pPr>
      <w:r>
        <w:rPr>
          <w:rFonts w:hint="eastAsia" w:ascii="宋体" w:hAnsi="宋体"/>
          <w:color w:val="auto"/>
          <w:szCs w:val="21"/>
          <w:highlight w:val="none"/>
        </w:rPr>
        <w:t xml:space="preserve">七、双方职责</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（一）甲方职责</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及时将所需协审的项目相关资料移交给乙方；</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2.按照招标文件及附件要求、投标文件、合同约定等对乙方服务进行验收并考核管理</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3.按时</w:t>
      </w:r>
      <w:r>
        <w:rPr>
          <w:rFonts w:hint="eastAsia" w:ascii="宋体" w:hAnsi="宋体" w:cs="宋体"/>
          <w:color w:val="auto"/>
          <w:szCs w:val="21"/>
          <w:highlight w:val="none"/>
        </w:rPr>
        <w:t xml:space="preserve">结算并支付</w:t>
      </w:r>
      <w:r>
        <w:rPr>
          <w:rFonts w:ascii="宋体" w:hAnsi="宋体" w:cs="宋体"/>
          <w:color w:val="auto"/>
          <w:szCs w:val="21"/>
          <w:highlight w:val="none"/>
        </w:rPr>
        <w:t xml:space="preserve">协审服务费</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（二）乙方职责</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1.乙方应建立质量管理体系，确保项目协审</w:t>
      </w:r>
      <w:r>
        <w:rPr>
          <w:rFonts w:hint="eastAsia" w:ascii="宋体" w:hAnsi="宋体" w:cs="宋体"/>
          <w:color w:val="auto"/>
          <w:szCs w:val="21"/>
          <w:highlight w:val="none"/>
        </w:rPr>
        <w:t xml:space="preserve">服务</w:t>
      </w:r>
      <w:r>
        <w:rPr>
          <w:rFonts w:ascii="宋体" w:hAnsi="宋体" w:cs="宋体"/>
          <w:color w:val="auto"/>
          <w:szCs w:val="21"/>
          <w:highlight w:val="none"/>
        </w:rPr>
        <w:t xml:space="preserve">质量。项目协审应当严格遵守国家的有关法律、法规、制度规定、有关执业规范及甲方的工作要求和工作规范。乙方对协审</w:t>
      </w:r>
      <w:r>
        <w:rPr>
          <w:rFonts w:hint="eastAsia" w:ascii="宋体" w:hAnsi="宋体" w:cs="宋体"/>
          <w:color w:val="auto"/>
          <w:szCs w:val="21"/>
          <w:highlight w:val="none"/>
        </w:rPr>
        <w:t xml:space="preserve">结果</w:t>
      </w:r>
      <w:r>
        <w:rPr>
          <w:rFonts w:ascii="宋体" w:hAnsi="宋体" w:cs="宋体"/>
          <w:color w:val="auto"/>
          <w:szCs w:val="21"/>
          <w:highlight w:val="none"/>
        </w:rPr>
        <w:t xml:space="preserve">的真实性、完整性、可靠性负责。</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2.乙方应在中标后一个月内具备响应服务驻点办公场所，拟派人员整个服务期应保持稳定，拟派人员未经甲方同意不得擅自更换且数量不低于承诺数量，并服从甲方</w:t>
      </w:r>
      <w:r>
        <w:rPr>
          <w:rFonts w:hint="eastAsia" w:ascii="宋体" w:hAnsi="宋体" w:cs="宋体"/>
          <w:color w:val="auto"/>
          <w:szCs w:val="21"/>
          <w:highlight w:val="none"/>
        </w:rPr>
        <w:t xml:space="preserve">对人员的</w:t>
      </w:r>
      <w:r>
        <w:rPr>
          <w:rFonts w:ascii="宋体" w:hAnsi="宋体" w:cs="宋体"/>
          <w:color w:val="auto"/>
          <w:szCs w:val="21"/>
          <w:highlight w:val="none"/>
        </w:rPr>
        <w:t xml:space="preserve">考核管理。</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3.乙方的工作必须接受甲方根据招标文件及其附件约定开展的考核，主要考核内容包括</w:t>
      </w:r>
      <w:r>
        <w:rPr>
          <w:rFonts w:hint="eastAsia" w:ascii="宋体" w:hAnsi="宋体" w:cs="宋体"/>
          <w:color w:val="auto"/>
          <w:szCs w:val="21"/>
          <w:highlight w:val="none"/>
        </w:rPr>
        <w:t xml:space="preserve">协审</w:t>
      </w:r>
      <w:bookmarkStart w:id="39" w:name="OLE_LINK10"/>
      <w:r>
        <w:rPr>
          <w:rFonts w:hint="eastAsia" w:ascii="宋体" w:hAnsi="宋体" w:cs="宋体"/>
          <w:color w:val="auto"/>
          <w:szCs w:val="21"/>
          <w:highlight w:val="none"/>
        </w:rPr>
        <w:t xml:space="preserve">服务质量</w:t>
      </w:r>
      <w:r>
        <w:rPr>
          <w:rFonts w:ascii="宋体" w:hAnsi="宋体" w:cs="宋体"/>
          <w:color w:val="auto"/>
          <w:szCs w:val="21"/>
          <w:highlight w:val="none"/>
        </w:rPr>
        <w:t xml:space="preserve">、</w:t>
      </w:r>
      <w:r>
        <w:rPr>
          <w:rFonts w:hint="eastAsia" w:ascii="宋体" w:hAnsi="宋体" w:cs="宋体"/>
          <w:color w:val="auto"/>
          <w:szCs w:val="21"/>
          <w:highlight w:val="none"/>
        </w:rPr>
        <w:t xml:space="preserve">工作质量</w:t>
      </w:r>
      <w:r>
        <w:rPr>
          <w:rFonts w:ascii="宋体" w:hAnsi="宋体" w:cs="宋体"/>
          <w:color w:val="auto"/>
          <w:szCs w:val="21"/>
          <w:highlight w:val="none"/>
        </w:rPr>
        <w:t xml:space="preserve">、</w:t>
      </w:r>
      <w:r>
        <w:rPr>
          <w:rFonts w:hint="eastAsia" w:ascii="宋体" w:hAnsi="宋体" w:cs="宋体"/>
          <w:color w:val="auto"/>
          <w:szCs w:val="21"/>
          <w:highlight w:val="none"/>
        </w:rPr>
        <w:t xml:space="preserve">工作时效、工作纪律</w:t>
      </w:r>
      <w:bookmarkEnd w:id="39"/>
      <w:r>
        <w:rPr>
          <w:rFonts w:ascii="宋体" w:hAnsi="宋体" w:cs="宋体"/>
          <w:color w:val="auto"/>
          <w:szCs w:val="21"/>
          <w:highlight w:val="none"/>
        </w:rPr>
        <w:t xml:space="preserve">等方面，并接受甲方根据考核结果做出的奖惩。对乙方不同意参加考核以及不配合考核的，甲方有权终止本合同，并且乙方无权要求甲方支付任何款项。</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4.乙方应确保项目</w:t>
      </w:r>
      <w:r>
        <w:rPr>
          <w:rFonts w:hint="eastAsia" w:ascii="宋体" w:hAnsi="宋体" w:cs="宋体"/>
          <w:color w:val="auto"/>
          <w:szCs w:val="21"/>
          <w:highlight w:val="none"/>
        </w:rPr>
        <w:t xml:space="preserve">协审</w:t>
      </w:r>
      <w:r>
        <w:rPr>
          <w:rFonts w:ascii="宋体" w:hAnsi="宋体" w:cs="宋体"/>
          <w:color w:val="auto"/>
          <w:szCs w:val="21"/>
          <w:highlight w:val="none"/>
        </w:rPr>
        <w:t xml:space="preserve">质量，按时完成协审工作</w:t>
      </w:r>
      <w:r>
        <w:rPr>
          <w:rFonts w:hint="eastAsia" w:ascii="宋体" w:hAnsi="宋体" w:cs="宋体"/>
          <w:color w:val="auto"/>
          <w:szCs w:val="21"/>
          <w:highlight w:val="none"/>
        </w:rPr>
        <w:t xml:space="preserve">。</w:t>
      </w:r>
      <w:r>
        <w:rPr>
          <w:rFonts w:ascii="宋体" w:hAnsi="宋体" w:cs="宋体"/>
          <w:color w:val="auto"/>
          <w:szCs w:val="21"/>
          <w:highlight w:val="none"/>
        </w:rPr>
        <w:t xml:space="preserve">对于协审工作产生重大质量误差、协审效率严重拖延、协审工作要求违反各级造价行业规定及甲方</w:t>
      </w:r>
      <w:r>
        <w:rPr>
          <w:rFonts w:hint="eastAsia" w:ascii="宋体" w:hAnsi="宋体" w:cs="宋体"/>
          <w:color w:val="auto"/>
          <w:szCs w:val="21"/>
          <w:highlight w:val="none"/>
        </w:rPr>
        <w:t xml:space="preserve">工作</w:t>
      </w:r>
      <w:r>
        <w:rPr>
          <w:rFonts w:ascii="宋体" w:hAnsi="宋体" w:cs="宋体"/>
          <w:color w:val="auto"/>
          <w:szCs w:val="21"/>
          <w:highlight w:val="none"/>
        </w:rPr>
        <w:t xml:space="preserve">规范，以及提供不实或内容虚假的协审结果，</w:t>
      </w:r>
      <w:r>
        <w:rPr>
          <w:rFonts w:hint="eastAsia" w:ascii="宋体" w:hAnsi="宋体" w:cs="宋体"/>
          <w:color w:val="auto"/>
          <w:szCs w:val="21"/>
          <w:highlight w:val="none"/>
        </w:rPr>
        <w:t xml:space="preserve">甲方将按照乙方违约进行惩处。</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5.乙方</w:t>
      </w:r>
      <w:r>
        <w:rPr>
          <w:rFonts w:hint="eastAsia" w:ascii="宋体" w:hAnsi="宋体" w:cs="宋体"/>
          <w:color w:val="auto"/>
          <w:szCs w:val="21"/>
          <w:highlight w:val="none"/>
        </w:rPr>
        <w:t xml:space="preserve">不得泄露与该项目协审项目有关的保密资料和商业秘密。协审过程中，所有项目的初步协审结论或初稿必须先报送甲方进行审核，经甲方确认同意后才能报送其他单位，否则甲方将按照乙方违约进行惩处。</w:t>
      </w:r>
      <w:r/>
    </w:p>
    <w:p>
      <w:pPr>
        <w:ind w:firstLine="420"/>
        <w:jc w:val="left"/>
        <w:spacing w:line="360" w:lineRule="auto"/>
        <w:rPr>
          <w:rFonts w:ascii="等线" w:hAnsi="等线"/>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.因</w:t>
      </w:r>
      <w:r>
        <w:rPr>
          <w:rFonts w:hint="eastAsia" w:ascii="宋体" w:hAnsi="宋体" w:cs="宋体"/>
          <w:color w:val="auto"/>
          <w:szCs w:val="21"/>
          <w:highlight w:val="none"/>
        </w:rPr>
        <w:t xml:space="preserve">项目协审过程中</w:t>
      </w:r>
      <w:r>
        <w:rPr>
          <w:rFonts w:ascii="宋体" w:hAnsi="宋体" w:cs="宋体"/>
          <w:color w:val="auto"/>
          <w:szCs w:val="21"/>
          <w:highlight w:val="none"/>
        </w:rPr>
        <w:t xml:space="preserve">需现场核实以及突发应急事件的现场</w:t>
      </w:r>
      <w:r>
        <w:rPr>
          <w:rFonts w:hint="eastAsia" w:ascii="宋体" w:hAnsi="宋体" w:cs="宋体"/>
          <w:color w:val="auto"/>
          <w:szCs w:val="21"/>
          <w:highlight w:val="none"/>
        </w:rPr>
        <w:t xml:space="preserve">处置</w:t>
      </w:r>
      <w:r>
        <w:rPr>
          <w:rFonts w:ascii="宋体" w:hAnsi="宋体" w:cs="宋体"/>
          <w:color w:val="auto"/>
          <w:szCs w:val="21"/>
          <w:highlight w:val="none"/>
        </w:rPr>
        <w:t xml:space="preserve">需要，乙方</w:t>
      </w:r>
      <w:r>
        <w:rPr>
          <w:rFonts w:hint="eastAsia" w:ascii="宋体" w:hAnsi="宋体" w:cs="宋体"/>
          <w:color w:val="auto"/>
          <w:szCs w:val="21"/>
          <w:highlight w:val="none"/>
        </w:rPr>
        <w:t xml:space="preserve">应遵守</w:t>
      </w:r>
      <w:r>
        <w:rPr>
          <w:rFonts w:ascii="宋体" w:hAnsi="宋体" w:cs="宋体"/>
          <w:color w:val="auto"/>
          <w:szCs w:val="21"/>
          <w:highlight w:val="none"/>
        </w:rPr>
        <w:t xml:space="preserve">投标</w:t>
      </w:r>
      <w:r>
        <w:rPr>
          <w:rFonts w:hint="eastAsia" w:ascii="宋体" w:hAnsi="宋体" w:cs="宋体"/>
          <w:color w:val="auto"/>
          <w:szCs w:val="21"/>
          <w:highlight w:val="none"/>
        </w:rPr>
        <w:t xml:space="preserve">时</w:t>
      </w:r>
      <w:r>
        <w:rPr>
          <w:rFonts w:ascii="宋体" w:hAnsi="宋体" w:cs="宋体"/>
          <w:color w:val="auto"/>
          <w:szCs w:val="21"/>
          <w:highlight w:val="none"/>
        </w:rPr>
        <w:t xml:space="preserve">承诺</w:t>
      </w:r>
      <w:r>
        <w:rPr>
          <w:rFonts w:hint="eastAsia" w:ascii="宋体" w:hAnsi="宋体" w:cs="宋体"/>
          <w:color w:val="auto"/>
          <w:szCs w:val="21"/>
          <w:highlight w:val="none"/>
        </w:rPr>
        <w:t xml:space="preserve">的</w:t>
      </w:r>
      <w:r>
        <w:rPr>
          <w:rFonts w:ascii="宋体" w:hAnsi="宋体" w:cs="宋体"/>
          <w:color w:val="auto"/>
          <w:szCs w:val="21"/>
          <w:highlight w:val="none"/>
        </w:rPr>
        <w:t xml:space="preserve">协审工作响应时间</w:t>
      </w:r>
      <w:r>
        <w:rPr>
          <w:rFonts w:hint="eastAsia" w:ascii="宋体" w:hAnsi="宋体" w:cs="宋体"/>
          <w:color w:val="auto"/>
          <w:szCs w:val="21"/>
          <w:highlight w:val="none"/>
        </w:rPr>
        <w:t xml:space="preserve">，</w:t>
      </w:r>
      <w:r>
        <w:rPr>
          <w:rFonts w:ascii="宋体" w:hAnsi="宋体" w:cs="宋体"/>
          <w:color w:val="auto"/>
          <w:szCs w:val="21"/>
          <w:highlight w:val="none"/>
        </w:rPr>
        <w:t xml:space="preserve">保证协审工作效率和服务质量</w:t>
      </w:r>
      <w:r>
        <w:rPr>
          <w:rFonts w:hint="eastAsia" w:ascii="宋体" w:hAnsi="宋体" w:cs="宋体"/>
          <w:color w:val="auto"/>
          <w:szCs w:val="21"/>
          <w:highlight w:val="none"/>
        </w:rPr>
        <w:t xml:space="preserve">。</w:t>
      </w:r>
      <w:r>
        <w:rPr>
          <w:rFonts w:ascii="宋体" w:hAnsi="宋体" w:cs="宋体"/>
          <w:color w:val="auto"/>
          <w:szCs w:val="21"/>
          <w:highlight w:val="none"/>
        </w:rPr>
        <w:t xml:space="preserve">在服务期内，被发现违背投标承诺的</w:t>
      </w:r>
      <w:r>
        <w:rPr>
          <w:rFonts w:hint="eastAsia" w:ascii="宋体" w:hAnsi="宋体" w:cs="宋体"/>
          <w:color w:val="auto"/>
          <w:szCs w:val="21"/>
          <w:highlight w:val="none"/>
        </w:rPr>
        <w:t xml:space="preserve">，甲方将按照乙方违约进行惩处</w:t>
      </w:r>
      <w:r>
        <w:rPr>
          <w:rFonts w:ascii="宋体" w:hAnsi="宋体" w:cs="宋体"/>
          <w:color w:val="auto"/>
          <w:szCs w:val="21"/>
          <w:highlight w:val="none"/>
        </w:rPr>
        <w:t xml:space="preserve">。</w:t>
      </w:r>
      <w:r/>
    </w:p>
    <w:p>
      <w:pPr>
        <w:ind w:firstLine="425"/>
        <w:spacing w:line="360" w:lineRule="auto"/>
        <w:widowControl/>
        <w:rPr>
          <w:rFonts w:ascii="宋体" w:hAnsi="宋体"/>
          <w:color w:val="auto"/>
          <w:szCs w:val="21"/>
          <w:highlight w:val="none"/>
        </w:rPr>
      </w:pPr>
      <w:r>
        <w:rPr>
          <w:rFonts w:hint="eastAsia" w:ascii="宋体" w:hAnsi="宋体"/>
          <w:color w:val="auto"/>
          <w:szCs w:val="21"/>
          <w:highlight w:val="none"/>
        </w:rPr>
        <w:t xml:space="preserve">八、履约验收</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 甲方依法组织履约验收工作，乙方应做好验收相应配合工作。</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 甲方根据标段内项目完成情况，采取分期验收方式自行组织履约验收。</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3.验收方案：</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⑴本项目采用自行简易验收形式，甲方每年年末根据乙方当年实际完成标段内的各单项项目进行验收，直至标段内项目全部完成为止。单项项目考核办法详见</w:t>
      </w:r>
      <w:bookmarkStart w:id="40" w:name="_Hlk207717302"/>
      <w:r>
        <w:rPr>
          <w:rFonts w:hint="eastAsia" w:ascii="宋体" w:hAnsi="宋体" w:cs="宋体"/>
          <w:color w:val="auto"/>
          <w:szCs w:val="21"/>
          <w:highlight w:val="none"/>
        </w:rPr>
        <w:t xml:space="preserve">姑苏区财政投资项目工程结算协审考核办法</w:t>
      </w:r>
      <w:bookmarkEnd w:id="40"/>
      <w:r>
        <w:rPr>
          <w:rFonts w:hint="eastAsia" w:ascii="宋体" w:hAnsi="宋体" w:cs="宋体"/>
          <w:color w:val="auto"/>
          <w:szCs w:val="21"/>
          <w:highlight w:val="none"/>
        </w:rPr>
        <w:t xml:space="preserve">。</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⑵根据当年完成的各单项项目考核得分予以确认履约验收结果。若标段内单项考核分数大于60分（含），则视为履约验收合格。若标段内有单项考核分数小于60分，则视为履约验收不合格。</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⑶验收结束后,</w:t>
      </w:r>
      <w:r>
        <w:rPr>
          <w:rFonts w:hint="eastAsia" w:ascii="宋体" w:hAnsi="宋体" w:cs="宋体"/>
          <w:color w:val="auto"/>
          <w:szCs w:val="21"/>
          <w:highlight w:val="none"/>
          <w:lang w:eastAsia="zh-CN"/>
        </w:rPr>
        <w:t xml:space="preserve">甲方</w:t>
      </w:r>
      <w:r>
        <w:rPr>
          <w:rFonts w:hint="eastAsia" w:ascii="宋体" w:hAnsi="宋体" w:cs="宋体"/>
          <w:color w:val="auto"/>
          <w:szCs w:val="21"/>
          <w:highlight w:val="none"/>
        </w:rPr>
        <w:t xml:space="preserve">出具验收书,列明各单项考核情况及项目总体评价,由验收双方共同签署。</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⑷验收不合格，按本合同第九条第二款执行。</w:t>
      </w:r>
      <w:r/>
    </w:p>
    <w:p>
      <w:pPr>
        <w:ind w:firstLine="425"/>
        <w:spacing w:line="360" w:lineRule="auto"/>
        <w:widowControl/>
        <w:rPr>
          <w:rFonts w:ascii="宋体" w:hAnsi="宋体"/>
          <w:color w:val="auto"/>
          <w:szCs w:val="21"/>
          <w:highlight w:val="none"/>
        </w:rPr>
      </w:pPr>
      <w:r>
        <w:rPr>
          <w:rFonts w:hint="eastAsia" w:ascii="宋体" w:hAnsi="宋体"/>
          <w:color w:val="auto"/>
          <w:szCs w:val="21"/>
          <w:highlight w:val="none"/>
        </w:rPr>
        <w:t xml:space="preserve">九、违约责任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甲方对本合同规定的</w:t>
      </w:r>
      <w:r>
        <w:rPr>
          <w:rFonts w:hint="eastAsia" w:ascii="宋体" w:hAnsi="宋体" w:cs="宋体"/>
          <w:color w:val="auto"/>
          <w:szCs w:val="21"/>
          <w:highlight w:val="none"/>
        </w:rPr>
        <w:t xml:space="preserve">职责</w:t>
      </w:r>
      <w:r>
        <w:rPr>
          <w:rFonts w:ascii="宋体" w:hAnsi="宋体" w:cs="宋体"/>
          <w:color w:val="auto"/>
          <w:szCs w:val="21"/>
          <w:highlight w:val="none"/>
        </w:rPr>
        <w:t xml:space="preserve">未履行或履行不力的，乙方可依法向甲方要求经济赔偿。</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乙方对本合同规定的</w:t>
      </w:r>
      <w:r>
        <w:rPr>
          <w:rFonts w:hint="eastAsia" w:ascii="宋体" w:hAnsi="宋体" w:cs="宋体"/>
          <w:color w:val="auto"/>
          <w:szCs w:val="21"/>
          <w:highlight w:val="none"/>
        </w:rPr>
        <w:t xml:space="preserve">职责</w:t>
      </w:r>
      <w:r>
        <w:rPr>
          <w:rFonts w:ascii="宋体" w:hAnsi="宋体" w:cs="宋体"/>
          <w:color w:val="auto"/>
          <w:szCs w:val="21"/>
          <w:highlight w:val="none"/>
        </w:rPr>
        <w:t xml:space="preserve">未履行或履行不力的，甲方可按相关法律、法规和招标文件中约定的文件的规定进行处罚，可以采取扣分、扣减协审</w:t>
      </w:r>
      <w:r>
        <w:rPr>
          <w:rFonts w:hint="eastAsia" w:ascii="宋体" w:hAnsi="宋体" w:cs="宋体"/>
          <w:color w:val="auto"/>
          <w:szCs w:val="21"/>
          <w:highlight w:val="none"/>
        </w:rPr>
        <w:t xml:space="preserve">服务</w:t>
      </w:r>
      <w:r>
        <w:rPr>
          <w:rFonts w:ascii="宋体" w:hAnsi="宋体" w:cs="宋体"/>
          <w:color w:val="auto"/>
          <w:szCs w:val="21"/>
          <w:highlight w:val="none"/>
        </w:rPr>
        <w:t xml:space="preserve">费用、终止</w:t>
      </w:r>
      <w:r>
        <w:rPr>
          <w:rFonts w:hint="eastAsia" w:ascii="宋体" w:hAnsi="宋体" w:cs="宋体"/>
          <w:color w:val="auto"/>
          <w:szCs w:val="21"/>
          <w:highlight w:val="none"/>
        </w:rPr>
        <w:t xml:space="preserve">合同项目委托、解除合同并要求经济赔偿</w:t>
      </w:r>
      <w:r>
        <w:rPr>
          <w:rFonts w:ascii="宋体" w:hAnsi="宋体" w:cs="宋体"/>
          <w:color w:val="auto"/>
          <w:szCs w:val="21"/>
          <w:highlight w:val="none"/>
        </w:rPr>
        <w:t xml:space="preserve">等处罚措施。情节严重的，将通报行业主管部门、政府采购监督管理部门或其他相关部门进行处理。</w:t>
      </w:r>
      <w:r>
        <w:rPr>
          <w:rFonts w:hint="eastAsia" w:ascii="宋体" w:hAnsi="宋体" w:cs="宋体"/>
          <w:color w:val="auto"/>
          <w:szCs w:val="21"/>
          <w:highlight w:val="none"/>
        </w:rPr>
        <w:t xml:space="preserve">触犯法律的，将移交有关部门追究乙方和相关责任人的经济和法律责任。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甲方</w:t>
      </w:r>
      <w:r>
        <w:rPr>
          <w:rFonts w:hint="eastAsia" w:ascii="宋体" w:hAnsi="宋体" w:cs="宋体"/>
          <w:color w:val="auto"/>
          <w:szCs w:val="21"/>
          <w:highlight w:val="none"/>
        </w:rPr>
        <w:t xml:space="preserve">、乙方</w:t>
      </w:r>
      <w:r>
        <w:rPr>
          <w:rFonts w:ascii="宋体" w:hAnsi="宋体" w:cs="宋体"/>
          <w:color w:val="auto"/>
          <w:szCs w:val="21"/>
          <w:highlight w:val="none"/>
        </w:rPr>
        <w:t xml:space="preserve">可就乙方违反协审服务合同规定或违纪事项向相关部门投诉</w:t>
      </w:r>
      <w:r>
        <w:rPr>
          <w:rFonts w:hint="eastAsia" w:ascii="宋体" w:hAnsi="宋体" w:cs="宋体"/>
          <w:color w:val="auto"/>
          <w:szCs w:val="21"/>
          <w:highlight w:val="none"/>
        </w:rPr>
        <w:t xml:space="preserve">；</w:t>
      </w:r>
      <w:r>
        <w:rPr>
          <w:rFonts w:ascii="宋体" w:hAnsi="宋体" w:cs="宋体"/>
          <w:color w:val="auto"/>
          <w:szCs w:val="21"/>
          <w:highlight w:val="none"/>
        </w:rPr>
        <w:t xml:space="preserve">经甲方及相关部门联合核查，如情况属实则投诉有效，将作为有效投诉记录在案。</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十、不可抗力</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甲、乙双方如果因不可抗力而导致合同义务的延误或不能履行，不承担没收履约保证金、误期赔偿或终止合同的责任。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ascii="等线" w:hAnsi="等线"/>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协审服务义务的协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十一、合同的解除</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1.甲方和乙方协商一致，可以解除合同。</w:t>
      </w:r>
      <w:r/>
    </w:p>
    <w:p>
      <w:pPr>
        <w:ind w:firstLine="420"/>
        <w:jc w:val="left"/>
        <w:spacing w:line="360" w:lineRule="auto"/>
        <w:rPr>
          <w:rFonts w:ascii="等线" w:hAnsi="等线"/>
          <w:color w:val="auto"/>
          <w:szCs w:val="21"/>
          <w:highlight w:val="none"/>
        </w:rPr>
      </w:pPr>
      <w:r/>
      <w:bookmarkStart w:id="41" w:name="_Hlk170996759"/>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出现下列情况之一的，甲方有权解除合同:</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经查实乙方存在行贿或有收受、索要</w:t>
      </w:r>
      <w:r>
        <w:rPr>
          <w:rFonts w:hint="eastAsia" w:ascii="宋体" w:hAnsi="宋体" w:cs="宋体"/>
          <w:color w:val="auto"/>
          <w:szCs w:val="21"/>
          <w:highlight w:val="none"/>
        </w:rPr>
        <w:t xml:space="preserve">与协审项目相关</w:t>
      </w:r>
      <w:r>
        <w:rPr>
          <w:rFonts w:ascii="宋体" w:hAnsi="宋体" w:cs="宋体"/>
          <w:color w:val="auto"/>
          <w:szCs w:val="21"/>
          <w:highlight w:val="none"/>
        </w:rPr>
        <w:t xml:space="preserve">单位提供的各种财物和免费服务等严重违反国家、行业以及评审规范的行为的</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在合同有效期内，</w:t>
      </w:r>
      <w:r>
        <w:rPr>
          <w:rFonts w:hint="eastAsia" w:ascii="宋体" w:hAnsi="宋体" w:cs="宋体"/>
          <w:color w:val="auto"/>
          <w:szCs w:val="21"/>
          <w:highlight w:val="none"/>
        </w:rPr>
        <w:t xml:space="preserve">乙方</w:t>
      </w:r>
      <w:r>
        <w:rPr>
          <w:rFonts w:ascii="宋体" w:hAnsi="宋体" w:cs="宋体"/>
          <w:color w:val="auto"/>
          <w:szCs w:val="21"/>
          <w:highlight w:val="none"/>
        </w:rPr>
        <w:t xml:space="preserve">被行业主管部门取消经营资格的</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在合同有效期内，乙方擅自变更、转让、租借协审服务商资格的</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乙方不如实反映情况，提供虚假材料的；</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w:t>
      </w:r>
      <w:r>
        <w:rPr>
          <w:rFonts w:ascii="宋体" w:hAnsi="宋体" w:cs="宋体"/>
          <w:color w:val="auto"/>
          <w:szCs w:val="21"/>
          <w:highlight w:val="none"/>
        </w:rPr>
        <w:t xml:space="preserve">乙方不同意</w:t>
      </w:r>
      <w:r>
        <w:rPr>
          <w:rFonts w:hint="eastAsia" w:ascii="宋体" w:hAnsi="宋体" w:cs="宋体"/>
          <w:color w:val="auto"/>
          <w:szCs w:val="21"/>
          <w:highlight w:val="none"/>
        </w:rPr>
        <w:t xml:space="preserve">接受甲方的</w:t>
      </w:r>
      <w:r>
        <w:rPr>
          <w:rFonts w:ascii="宋体" w:hAnsi="宋体" w:cs="宋体"/>
          <w:color w:val="auto"/>
          <w:szCs w:val="21"/>
          <w:highlight w:val="none"/>
        </w:rPr>
        <w:t xml:space="preserve">考核、不接受质量复核监督的；</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ascii="宋体" w:hAnsi="宋体" w:cs="宋体"/>
          <w:color w:val="auto"/>
          <w:szCs w:val="21"/>
          <w:highlight w:val="none"/>
        </w:rPr>
        <w:t xml:space="preserve">乙方在造价咨询服务中，在</w:t>
      </w:r>
      <w:bookmarkStart w:id="42" w:name="_Hlk207717676"/>
      <w:r>
        <w:rPr>
          <w:rFonts w:hint="eastAsia" w:ascii="宋体" w:hAnsi="宋体" w:cs="宋体"/>
          <w:color w:val="auto"/>
          <w:szCs w:val="21"/>
          <w:highlight w:val="none"/>
        </w:rPr>
        <w:t xml:space="preserve">服务质量</w:t>
      </w:r>
      <w:r>
        <w:rPr>
          <w:rFonts w:ascii="宋体" w:hAnsi="宋体" w:cs="宋体"/>
          <w:color w:val="auto"/>
          <w:szCs w:val="21"/>
          <w:highlight w:val="none"/>
        </w:rPr>
        <w:t xml:space="preserve">、</w:t>
      </w:r>
      <w:r>
        <w:rPr>
          <w:rFonts w:hint="eastAsia" w:ascii="宋体" w:hAnsi="宋体" w:cs="宋体"/>
          <w:color w:val="auto"/>
          <w:szCs w:val="21"/>
          <w:highlight w:val="none"/>
        </w:rPr>
        <w:t xml:space="preserve">工作质量</w:t>
      </w:r>
      <w:r>
        <w:rPr>
          <w:rFonts w:ascii="宋体" w:hAnsi="宋体" w:cs="宋体"/>
          <w:color w:val="auto"/>
          <w:szCs w:val="21"/>
          <w:highlight w:val="none"/>
        </w:rPr>
        <w:t xml:space="preserve">、</w:t>
      </w:r>
      <w:r>
        <w:rPr>
          <w:rFonts w:hint="eastAsia" w:ascii="宋体" w:hAnsi="宋体" w:cs="宋体"/>
          <w:color w:val="auto"/>
          <w:szCs w:val="21"/>
          <w:highlight w:val="none"/>
        </w:rPr>
        <w:t xml:space="preserve">工作时效、工作纪律</w:t>
      </w:r>
      <w:bookmarkEnd w:id="42"/>
      <w:r>
        <w:rPr>
          <w:rFonts w:ascii="宋体" w:hAnsi="宋体" w:cs="宋体"/>
          <w:color w:val="auto"/>
          <w:szCs w:val="21"/>
          <w:highlight w:val="none"/>
        </w:rPr>
        <w:t xml:space="preserve">上出现严重差错，</w:t>
      </w:r>
      <w:r>
        <w:rPr>
          <w:rFonts w:hint="eastAsia" w:ascii="宋体" w:hAnsi="宋体" w:cs="宋体"/>
          <w:color w:val="auto"/>
          <w:szCs w:val="21"/>
          <w:highlight w:val="none"/>
        </w:rPr>
        <w:t xml:space="preserve">严重偏离</w:t>
      </w:r>
      <w:r>
        <w:rPr>
          <w:rFonts w:ascii="宋体" w:hAnsi="宋体" w:cs="宋体"/>
          <w:color w:val="auto"/>
          <w:szCs w:val="21"/>
          <w:highlight w:val="none"/>
        </w:rPr>
        <w:t xml:space="preserve">招标文件</w:t>
      </w:r>
      <w:r>
        <w:rPr>
          <w:rFonts w:hint="eastAsia" w:ascii="宋体" w:hAnsi="宋体" w:cs="宋体"/>
          <w:color w:val="auto"/>
          <w:szCs w:val="21"/>
          <w:highlight w:val="none"/>
        </w:rPr>
        <w:t xml:space="preserve">及甲方考核</w:t>
      </w:r>
      <w:r>
        <w:rPr>
          <w:rFonts w:ascii="宋体" w:hAnsi="宋体" w:cs="宋体"/>
          <w:color w:val="auto"/>
          <w:szCs w:val="21"/>
          <w:highlight w:val="none"/>
        </w:rPr>
        <w:t xml:space="preserve">的</w:t>
      </w:r>
      <w:r>
        <w:rPr>
          <w:rFonts w:hint="eastAsia" w:ascii="宋体" w:hAnsi="宋体" w:cs="宋体"/>
          <w:color w:val="auto"/>
          <w:szCs w:val="21"/>
          <w:highlight w:val="none"/>
        </w:rPr>
        <w:t xml:space="preserve">要求</w:t>
      </w:r>
      <w:r>
        <w:rPr>
          <w:rFonts w:ascii="宋体" w:hAnsi="宋体" w:cs="宋体"/>
          <w:color w:val="auto"/>
          <w:szCs w:val="21"/>
          <w:highlight w:val="none"/>
        </w:rPr>
        <w:t xml:space="preserve">时；</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w:t>
      </w:r>
      <w:r>
        <w:rPr>
          <w:rFonts w:ascii="宋体" w:hAnsi="宋体" w:cs="宋体"/>
          <w:color w:val="auto"/>
          <w:szCs w:val="21"/>
          <w:highlight w:val="none"/>
        </w:rPr>
        <w:t xml:space="preserve">受政策影响导致合同无法履行的</w:t>
      </w:r>
      <w:r>
        <w:rPr>
          <w:rFonts w:hint="eastAsia" w:ascii="宋体" w:hAnsi="宋体" w:cs="宋体"/>
          <w:color w:val="auto"/>
          <w:szCs w:val="21"/>
          <w:highlight w:val="none"/>
        </w:rPr>
        <w:t xml:space="preserve">。</w:t>
      </w:r>
      <w:bookmarkEnd w:id="41"/>
      <w:r/>
      <w:r/>
    </w:p>
    <w:p>
      <w:pPr>
        <w:ind w:firstLine="420"/>
        <w:jc w:val="left"/>
        <w:spacing w:line="360" w:lineRule="auto"/>
        <w:rPr>
          <w:rFonts w:ascii="等线" w:hAnsi="等线"/>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有权解除合同的一方，应当在违约事实或不可抗力发生之后</w:t>
      </w:r>
      <w:r>
        <w:rPr>
          <w:rFonts w:hint="eastAsia" w:ascii="宋体" w:hAnsi="宋体" w:cs="宋体"/>
          <w:color w:val="auto"/>
          <w:szCs w:val="21"/>
          <w:highlight w:val="none"/>
        </w:rPr>
        <w:t xml:space="preserve">3</w:t>
      </w:r>
      <w:r>
        <w:rPr>
          <w:rFonts w:ascii="宋体" w:hAnsi="宋体" w:cs="宋体"/>
          <w:color w:val="auto"/>
          <w:szCs w:val="21"/>
          <w:highlight w:val="none"/>
        </w:rPr>
        <w:t xml:space="preserve">0天内书面通知对方提出解除合同，合同在书面通知到达对方时解除。</w:t>
      </w:r>
      <w:r/>
    </w:p>
    <w:p>
      <w:pPr>
        <w:ind w:firstLine="420"/>
        <w:jc w:val="left"/>
        <w:spacing w:line="360" w:lineRule="auto"/>
        <w:rPr>
          <w:rFonts w:ascii="宋体" w:hAnsi="宋体" w:cs="宋体"/>
          <w:color w:val="auto"/>
          <w:szCs w:val="21"/>
          <w:highlight w:val="none"/>
        </w:rPr>
      </w:pPr>
      <w:r/>
      <w:bookmarkStart w:id="43" w:name="_Hlk170996880"/>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合同解除后，中标标段中未开始协审的项目全部取消，协审项目另行安排</w:t>
      </w:r>
      <w:r>
        <w:rPr>
          <w:rFonts w:hint="eastAsia" w:ascii="宋体" w:hAnsi="宋体" w:cs="宋体"/>
          <w:color w:val="auto"/>
          <w:szCs w:val="21"/>
          <w:highlight w:val="none"/>
        </w:rPr>
        <w:t xml:space="preserve">；</w:t>
      </w:r>
      <w:r>
        <w:rPr>
          <w:rFonts w:ascii="宋体" w:hAnsi="宋体" w:cs="宋体"/>
          <w:color w:val="auto"/>
          <w:szCs w:val="21"/>
          <w:highlight w:val="none"/>
        </w:rPr>
        <w:t xml:space="preserve">已开始协审的项目，甲方有权视情况采取立即安排他人完成，或要求乙方在合同解除后2个月内采取补救措施完成协审工作，如乙方2个月内无法完成的，将取消协审，协审项目由甲方另行安排他人完成。被取消协审的协审项目，协审费用不予计取。</w:t>
      </w:r>
      <w:bookmarkEnd w:id="43"/>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十二、合同的转让</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合同的部分和全部都不得转让。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十三、争议处置</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在执行本合同中所发生的一切争议，甲、乙双方应通过友好协商的办法进行解决，如协商不能解决的</w:t>
      </w:r>
      <w:r>
        <w:rPr>
          <w:rFonts w:ascii="宋体" w:hAnsi="宋体" w:cs="宋体"/>
          <w:color w:val="auto"/>
          <w:szCs w:val="21"/>
          <w:highlight w:val="none"/>
        </w:rPr>
        <w:t xml:space="preserve">,</w:t>
      </w:r>
      <w:r>
        <w:rPr>
          <w:rFonts w:hint="eastAsia" w:ascii="宋体" w:hAnsi="宋体" w:cs="宋体"/>
          <w:color w:val="auto"/>
          <w:szCs w:val="21"/>
          <w:highlight w:val="none"/>
        </w:rPr>
        <w:t xml:space="preserve"> 任何一方均</w:t>
      </w:r>
      <w:r>
        <w:rPr>
          <w:rFonts w:ascii="宋体" w:hAnsi="宋体" w:cs="宋体"/>
          <w:color w:val="auto"/>
          <w:szCs w:val="21"/>
          <w:highlight w:val="none"/>
        </w:rPr>
        <w:t xml:space="preserve">可提请甲方所在地人民法院进行裁决。</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十四、合同生效及其他</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本合同经甲乙双方签字并加盖公章</w:t>
      </w:r>
      <w:r>
        <w:rPr>
          <w:rFonts w:hint="eastAsia" w:ascii="宋体" w:hAnsi="宋体" w:cs="宋体"/>
          <w:color w:val="auto"/>
          <w:szCs w:val="21"/>
          <w:highlight w:val="none"/>
        </w:rPr>
        <w:t xml:space="preserve">后生效，同时须按规定公示</w:t>
      </w:r>
      <w:r>
        <w:rPr>
          <w:rFonts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合同在执行过程中出现的未尽事宜，双方在不违背本合同的原则下协商解决，协商结果以书面形式记录在案，作为本合同附件，与本合同具有同等法律效力</w:t>
      </w:r>
      <w:r>
        <w:rPr>
          <w:rFonts w:hint="eastAsia" w:ascii="宋体" w:hAnsi="宋体" w:cs="宋体"/>
          <w:color w:val="auto"/>
          <w:szCs w:val="21"/>
          <w:highlight w:val="none"/>
        </w:rPr>
        <w:t xml:space="preserve">。</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十五、未尽事宜</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本合同未尽事宜应按《中华人民共和国民法典》、《中华人民共和国政府采购法》等相关法律法规之规定解释。</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十六、附则</w:t>
      </w:r>
      <w:r/>
    </w:p>
    <w:p>
      <w:pPr>
        <w:ind w:firstLine="425"/>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本合同一式三份，甲、乙双方各执一份，招标代理机构一份。</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甲方（公章）：            </w:t>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hint="eastAsia" w:ascii="宋体" w:hAnsi="宋体" w:cs="宋体"/>
          <w:color w:val="auto"/>
          <w:szCs w:val="21"/>
          <w:highlight w:val="none"/>
        </w:rPr>
        <w:t xml:space="preserve">乙方（公章）：      </w:t>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hint="eastAsia" w:ascii="宋体" w:hAnsi="宋体" w:cs="宋体"/>
          <w:color w:val="auto"/>
          <w:szCs w:val="21"/>
          <w:highlight w:val="none"/>
        </w:rPr>
        <w:t xml:space="preserve">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法定代表人或被授权人：</w:t>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hint="eastAsia" w:ascii="宋体" w:hAnsi="宋体" w:cs="宋体"/>
          <w:color w:val="auto"/>
          <w:szCs w:val="21"/>
          <w:highlight w:val="none"/>
        </w:rPr>
        <w:t xml:space="preserve">法定代表人或被授权人：</w:t>
      </w:r>
      <w:r/>
    </w:p>
    <w:p>
      <w:pPr>
        <w:ind w:firstLine="420"/>
        <w:jc w:val="left"/>
        <w:spacing w:line="360" w:lineRule="auto"/>
        <w:rPr>
          <w:rFonts w:ascii="等线" w:hAnsi="等线"/>
          <w:color w:val="auto"/>
          <w:szCs w:val="21"/>
          <w:highlight w:val="none"/>
        </w:rPr>
      </w:pPr>
      <w:r>
        <w:rPr>
          <w:rFonts w:ascii="等线" w:hAnsi="等线"/>
          <w:color w:val="auto"/>
          <w:szCs w:val="21"/>
          <w:highlight w:val="none"/>
        </w:rPr>
      </w:r>
      <w:r/>
    </w:p>
    <w:p>
      <w:pPr>
        <w:ind w:firstLine="420"/>
        <w:spacing w:line="400" w:lineRule="exact"/>
        <w:widowControl/>
        <w:rPr>
          <w:rFonts w:ascii="宋体" w:hAnsi="宋体" w:cs="宋体"/>
          <w:b/>
          <w:bCs/>
          <w:color w:val="auto"/>
          <w:szCs w:val="21"/>
          <w:highlight w:val="none"/>
        </w:rPr>
      </w:pPr>
      <w:r>
        <w:rPr>
          <w:rFonts w:hint="eastAsia" w:ascii="宋体" w:hAnsi="宋体" w:cs="宋体"/>
          <w:color w:val="auto"/>
          <w:szCs w:val="21"/>
          <w:highlight w:val="none"/>
        </w:rPr>
        <w:t xml:space="preserve">签订日期：  </w:t>
      </w:r>
      <w:bookmarkStart w:id="44" w:name="_Hlk142053123"/>
      <w:r>
        <w:rPr>
          <w:rFonts w:ascii="宋体" w:hAnsi="宋体" w:cs="宋体"/>
          <w:b/>
          <w:bCs/>
          <w:color w:val="auto"/>
          <w:szCs w:val="21"/>
          <w:highlight w:val="none"/>
        </w:rPr>
        <w:br w:type="page" w:clear="all"/>
      </w:r>
      <w:bookmarkEnd w:id="32"/>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合同附件：协审廉政承诺书 </w:t>
      </w:r>
      <w:r/>
    </w:p>
    <w:p>
      <w:pPr>
        <w:jc w:val="center"/>
        <w:spacing w:line="360" w:lineRule="auto"/>
        <w:rPr>
          <w:rFonts w:ascii="宋体" w:hAnsi="宋体" w:cs="宋体"/>
          <w:color w:val="auto"/>
          <w:sz w:val="28"/>
          <w:szCs w:val="28"/>
          <w:highlight w:val="none"/>
        </w:rPr>
      </w:pPr>
      <w:r>
        <w:rPr>
          <w:rFonts w:hint="eastAsia" w:ascii="宋体" w:hAnsi="宋体" w:cs="宋体"/>
          <w:b/>
          <w:color w:val="auto"/>
          <w:sz w:val="28"/>
          <w:szCs w:val="28"/>
          <w:highlight w:val="none"/>
        </w:rPr>
        <w:t xml:space="preserve">协审廉政承诺书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委托方（甲方）：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中标单位（乙方）：</w:t>
      </w:r>
      <w:r>
        <w:rPr>
          <w:rFonts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加强姑苏区财政投资项目造价委托协审服务过程中的廉政建设，规范甲、乙双方的各项活动，防止发生各种谋取不正当利益的违法违纪行为，保护国家、集体和当事人的合法权益，根据国家有关法律法规和党风廉政建设规定，特签订本协审廉政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第一条 甲乙双方的责任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（一）甲乙双方应共同遵守国家、省、市有关法律法规和行业规范以及党风廉政建设的各项规定。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（二）甲乙双方应严格按协审服务采购合同约定行使职责和义务。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（三）甲乙双方应严守工作纪律，保守工作秘密，不得行使损害国家和集体利益、违反相关法律法规的不正当交易。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（四）甲乙双方如发现对方在业务活动中有违规、违纪、违法的行为，应及时提醒对方，情节严重的，应向其上级主管部门或纪检监察部门举报。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第二条 甲方的责任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甲方参与协审服务项目管理工作人员，在协审项目的事前、事中、事后应遵守以下规定：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（一）不准向乙方和相关单位索要或接受回扣、礼金、有价证券、贵重物品和好处费等。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（二）不准在乙方和相关单位报销任何应由甲方或个人支付的费用。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（三）不准要求、暗示或接受乙方和相关单位为个人装修住房、婚丧嫁娶、配偶子女的工作安排以及出国（境）、旅游等提供方便。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（四）不准参加有可能影响公正执行公务的乙方和相关单位的宴请、娱乐等活动。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（五）不准向乙方介绍或为配偶、子女、亲属参与同甲方协审项目实施有关的经济活动。不得以任何理由向乙方和相关单位推荐分包单位或分包人员等。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第三条 乙方的责任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乙方应与甲方保持正常的业务交往，按照有关法律法规和程序开展业务工作，严格执行国家协审的有关法律法规和行业规范，并遵守以下规定：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（一）不准以任何理由向甲方工作人员索要、接受或赠送礼金、有价证券、贵重物品及回扣、好处费等。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（二）不准以任何理由为甲方和相关单位报销应由对方或个人支付的费用。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（三）不准接受或暗示为甲方、相关单位或个人装修住房、婚丧嫁娶、配偶子女的工作安排以及出国（境）、旅游等提供方便。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（四）不准以任何理由为甲方、相关单位或个人组织有可能影响公正执行公务的宴请、娱乐等活动。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（五）在履行本合同期间，乙方不得与协审项目的潜在利益相关方串通，做出有损协审结果公正性的行为；不得行使损害国家和集体利益、违反相关法律法规的不正当交易。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第四条 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（一）甲方或甲方工作人员有违反本合同第一、二条规定的，按照管理权限，由纪检监察部门依据有关法律法规给予党纪、政纪处分；涉嫌犯罪的，移交司法机关追究刑事责任。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（二）乙方或乙方工作人员有违反本合同第一、三条规定的，按照管理权限，纪检监察部门将建议相关行业主管部门给与相应的处罚；涉嫌犯罪的，移交司法机关追究刑事责任。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第五条 本承诺书与委托协审服务合同具有同等法律效力，经双方签署后立即生效。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第六条 本承诺书一式两份，由甲乙双方各执一份。</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甲方（公章）：                         　</w:t>
      </w:r>
      <w:r>
        <w:rPr>
          <w:rFonts w:ascii="宋体" w:hAnsi="宋体" w:cs="宋体"/>
          <w:color w:val="auto"/>
          <w:szCs w:val="21"/>
          <w:highlight w:val="none"/>
        </w:rPr>
        <w:tab/>
      </w:r>
      <w:r>
        <w:rPr>
          <w:rFonts w:hint="eastAsia" w:ascii="宋体" w:hAnsi="宋体" w:cs="宋体"/>
          <w:color w:val="auto"/>
          <w:szCs w:val="21"/>
          <w:highlight w:val="none"/>
        </w:rPr>
        <w:t xml:space="preserve">乙方（公章）：</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法定代表人或被授权人签字：</w:t>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hint="eastAsia" w:ascii="宋体" w:hAnsi="宋体" w:cs="宋体"/>
          <w:color w:val="auto"/>
          <w:szCs w:val="21"/>
          <w:highlight w:val="none"/>
        </w:rPr>
        <w:t xml:space="preserve">法定代表人或被授权人签字：　</w:t>
      </w:r>
      <w:r/>
    </w:p>
    <w:p>
      <w:pPr>
        <w:jc w:val="left"/>
        <w:spacing w:line="400" w:lineRule="exact"/>
        <w:rPr>
          <w:rFonts w:ascii="宋体" w:hAnsi="宋体" w:cs="宋体"/>
          <w:color w:val="auto"/>
          <w:szCs w:val="21"/>
          <w:highlight w:val="none"/>
        </w:rPr>
      </w:pPr>
      <w:r>
        <w:rPr>
          <w:rFonts w:ascii="宋体" w:hAnsi="宋体" w:cs="宋体"/>
          <w:color w:val="auto"/>
          <w:szCs w:val="21"/>
          <w:highlight w:val="none"/>
        </w:rPr>
      </w:r>
      <w:r/>
    </w:p>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签订日期：                                </w:t>
      </w:r>
      <w:r/>
    </w:p>
    <w:p>
      <w:pPr>
        <w:jc w:val="left"/>
        <w:widowControl/>
        <w:rPr>
          <w:rFonts w:ascii="宋体" w:hAnsi="宋体"/>
          <w:b/>
          <w:color w:val="auto"/>
          <w:szCs w:val="21"/>
          <w:highlight w:val="none"/>
        </w:rPr>
      </w:pPr>
      <w:r>
        <w:rPr>
          <w:rFonts w:ascii="宋体" w:hAnsi="宋体"/>
          <w:b/>
          <w:color w:val="auto"/>
          <w:szCs w:val="21"/>
          <w:highlight w:val="none"/>
        </w:rPr>
        <w:br w:type="page" w:clear="all"/>
      </w:r>
      <w:r/>
    </w:p>
    <w:p>
      <w:pPr>
        <w:jc w:val="center"/>
        <w:spacing w:line="400" w:lineRule="exact"/>
        <w:widowControl/>
        <w:rPr>
          <w:rFonts w:ascii="宋体" w:hAnsi="宋体"/>
          <w:b/>
          <w:color w:val="auto"/>
          <w:sz w:val="36"/>
          <w:szCs w:val="36"/>
          <w:highlight w:val="none"/>
        </w:rPr>
      </w:pPr>
      <w:r>
        <w:rPr>
          <w:rFonts w:hint="eastAsia" w:ascii="宋体" w:hAnsi="宋体"/>
          <w:b/>
          <w:color w:val="auto"/>
          <w:sz w:val="36"/>
          <w:szCs w:val="36"/>
          <w:highlight w:val="none"/>
        </w:rPr>
        <w:t xml:space="preserve">第六章 评标方法与评分标准</w:t>
      </w:r>
      <w:bookmarkEnd w:id="44"/>
      <w:r/>
      <w:r/>
    </w:p>
    <w:p>
      <w:pPr>
        <w:ind w:firstLine="420"/>
        <w:spacing w:line="400" w:lineRule="exact"/>
        <w:rPr>
          <w:color w:val="auto"/>
          <w:szCs w:val="21"/>
          <w:highlight w:val="none"/>
        </w:rPr>
      </w:pPr>
      <w:r>
        <w:rPr>
          <w:rFonts w:hint="eastAsia" w:hAnsi="宋体"/>
          <w:color w:val="auto"/>
          <w:szCs w:val="21"/>
          <w:highlight w:val="none"/>
        </w:rPr>
        <w:t xml:space="preserve">一、评标方法：</w:t>
      </w:r>
      <w:r/>
    </w:p>
    <w:p>
      <w:pPr>
        <w:ind w:firstLine="420"/>
        <w:spacing w:line="400" w:lineRule="exact"/>
        <w:rPr>
          <w:rFonts w:hAnsi="宋体"/>
          <w:color w:val="auto"/>
          <w:szCs w:val="21"/>
          <w:highlight w:val="none"/>
        </w:rPr>
      </w:pPr>
      <w:r>
        <w:rPr>
          <w:rFonts w:hint="eastAsia" w:hAnsi="宋体"/>
          <w:color w:val="auto"/>
          <w:szCs w:val="21"/>
          <w:highlight w:val="none"/>
        </w:rPr>
        <w:t xml:space="preserve">1、本次招标评标</w:t>
      </w:r>
      <w:r>
        <w:rPr>
          <w:rFonts w:hint="eastAsia" w:hAnsi="宋体"/>
          <w:color w:val="auto"/>
          <w:szCs w:val="21"/>
          <w:highlight w:val="none"/>
          <w:lang w:eastAsia="zh-CN"/>
        </w:rPr>
        <w:t xml:space="preserve">采用</w:t>
      </w:r>
      <w:r>
        <w:rPr>
          <w:rFonts w:hint="eastAsia" w:hAnsi="宋体"/>
          <w:color w:val="auto"/>
          <w:szCs w:val="21"/>
          <w:highlight w:val="none"/>
        </w:rPr>
        <w:t xml:space="preserve">综合评分法，即在满足招标文件实质性要求前提下，按照招标文件中规定的评分标准和各项因素进行综合评审后，按照得分从高到低顺序选定排名第一的投标人为对应标段的中标候选人。</w:t>
      </w:r>
      <w:r/>
    </w:p>
    <w:p>
      <w:pPr>
        <w:ind w:firstLine="420"/>
        <w:spacing w:line="400" w:lineRule="exact"/>
        <w:rPr>
          <w:rFonts w:hAnsi="宋体"/>
          <w:color w:val="auto"/>
          <w:szCs w:val="21"/>
          <w:highlight w:val="none"/>
        </w:rPr>
      </w:pPr>
      <w:r>
        <w:rPr>
          <w:rFonts w:hint="eastAsia" w:hAnsi="宋体"/>
          <w:color w:val="auto"/>
          <w:szCs w:val="21"/>
          <w:highlight w:val="none"/>
        </w:rPr>
        <w:t xml:space="preserve">2、评标时，评标委员会成员按照招标文件规定的评分标准，独立对每个投标人的投标文件进行评价、打分，每个投标人的得分保留小数点后两位。</w:t>
      </w:r>
      <w:r/>
    </w:p>
    <w:p>
      <w:pPr>
        <w:ind w:firstLine="420"/>
        <w:spacing w:line="400" w:lineRule="exact"/>
        <w:rPr>
          <w:rFonts w:hAnsi="宋体"/>
          <w:color w:val="auto"/>
          <w:szCs w:val="21"/>
          <w:highlight w:val="none"/>
        </w:rPr>
      </w:pPr>
      <w:r>
        <w:rPr>
          <w:rFonts w:hint="eastAsia" w:hAnsi="宋体"/>
          <w:color w:val="auto"/>
          <w:szCs w:val="21"/>
          <w:highlight w:val="none"/>
        </w:rPr>
        <w:t xml:space="preserve">3、</w:t>
      </w:r>
      <w:r>
        <w:rPr>
          <w:rFonts w:hint="eastAsia" w:hAnsi="宋体"/>
          <w:b/>
          <w:bCs/>
          <w:color w:val="auto"/>
          <w:szCs w:val="21"/>
          <w:highlight w:val="none"/>
        </w:rPr>
        <w:t xml:space="preserve">评标委员会将根据标段自然顺序进行评定。已中取前标段的投标单位将自动失去后续标段的中标资格，不进入后续标段评标程序。</w:t>
      </w:r>
      <w:r/>
    </w:p>
    <w:p>
      <w:pPr>
        <w:ind w:firstLine="422"/>
        <w:spacing w:line="400" w:lineRule="exact"/>
        <w:rPr>
          <w:rFonts w:hAnsi="宋体"/>
          <w:b/>
          <w:bCs/>
          <w:color w:val="auto"/>
          <w:szCs w:val="21"/>
          <w:highlight w:val="none"/>
        </w:rPr>
      </w:pPr>
      <w:r>
        <w:rPr>
          <w:rFonts w:hint="eastAsia" w:hAnsi="宋体"/>
          <w:b/>
          <w:bCs/>
          <w:color w:val="auto"/>
          <w:szCs w:val="21"/>
          <w:highlight w:val="none"/>
        </w:rPr>
        <w:t xml:space="preserve">4、如出现评标总得分最高的投标人有两个或两个以上的，由公证机构组织以抽签方式确定中标候选人。</w:t>
      </w:r>
      <w:r/>
    </w:p>
    <w:p>
      <w:pPr>
        <w:ind w:firstLine="420"/>
        <w:spacing w:line="400" w:lineRule="exact"/>
        <w:rPr>
          <w:color w:val="auto"/>
          <w:szCs w:val="21"/>
          <w:highlight w:val="none"/>
        </w:rPr>
      </w:pPr>
      <w:r>
        <w:rPr>
          <w:rFonts w:hint="eastAsia" w:hAnsi="宋体"/>
          <w:color w:val="auto"/>
          <w:szCs w:val="21"/>
          <w:highlight w:val="none"/>
        </w:rPr>
        <w:t xml:space="preserve">二、</w:t>
      </w:r>
      <w:r>
        <w:rPr>
          <w:rFonts w:hint="eastAsia"/>
          <w:color w:val="auto"/>
          <w:szCs w:val="21"/>
          <w:highlight w:val="none"/>
        </w:rPr>
        <w:t xml:space="preserve">综合评分标准：</w:t>
      </w:r>
      <w:r/>
    </w:p>
    <w:p>
      <w:pPr>
        <w:ind w:firstLine="420"/>
        <w:spacing w:line="400" w:lineRule="exact"/>
        <w:rPr>
          <w:color w:val="auto"/>
          <w:szCs w:val="21"/>
          <w:highlight w:val="none"/>
        </w:rPr>
      </w:pPr>
      <w:r/>
      <w:bookmarkStart w:id="45" w:name="_Hlk207722311"/>
      <w:r>
        <w:rPr>
          <w:rFonts w:hint="eastAsia"/>
          <w:color w:val="auto"/>
          <w:szCs w:val="21"/>
          <w:highlight w:val="none"/>
        </w:rPr>
        <w:t xml:space="preserve">（一）拟派协审人员情况</w:t>
      </w:r>
      <w:r>
        <w:rPr>
          <w:rFonts w:hint="eastAsia"/>
          <w:color w:val="auto"/>
          <w:szCs w:val="21"/>
          <w:highlight w:val="none"/>
        </w:rPr>
        <w:t xml:space="preserve">（</w:t>
      </w:r>
      <w:r>
        <w:rPr>
          <w:color w:val="auto"/>
          <w:szCs w:val="21"/>
          <w:highlight w:val="none"/>
        </w:rPr>
        <w:t xml:space="preserve">74</w:t>
      </w:r>
      <w:r>
        <w:rPr>
          <w:rFonts w:hint="eastAsia"/>
          <w:color w:val="auto"/>
          <w:szCs w:val="21"/>
          <w:highlight w:val="none"/>
        </w:rPr>
        <w:t xml:space="preserve">分）</w:t>
      </w:r>
      <w:bookmarkEnd w:id="45"/>
      <w:r/>
      <w:r/>
    </w:p>
    <w:p>
      <w:pPr>
        <w:ind w:firstLine="420"/>
        <w:spacing w:line="400" w:lineRule="exact"/>
        <w:rPr>
          <w:color w:val="auto"/>
          <w:szCs w:val="21"/>
          <w:highlight w:val="none"/>
        </w:rPr>
      </w:pPr>
      <w:r/>
      <w:bookmarkStart w:id="46" w:name="_Hlk207722262"/>
      <w:r>
        <w:rPr>
          <w:rFonts w:hint="eastAsia"/>
          <w:color w:val="auto"/>
          <w:szCs w:val="21"/>
          <w:highlight w:val="none"/>
        </w:rPr>
        <w:t xml:space="preserve">拟选派协审人员能力、职称、执业资格及业绩等情况（提供投标人所在地缴纳的社保证明）</w:t>
      </w:r>
      <w:r>
        <w:rPr>
          <w:rFonts w:hint="eastAsia"/>
          <w:b/>
          <w:color w:val="auto"/>
          <w:szCs w:val="21"/>
          <w:highlight w:val="none"/>
        </w:rPr>
        <w:t xml:space="preserve">协审人员应当固定，未经采购人同意不得随意更换。评审时仅对拟派服务团队名单中的前12位服务人员进行评定</w:t>
      </w:r>
      <w:r>
        <w:rPr>
          <w:rFonts w:hint="eastAsia"/>
          <w:color w:val="auto"/>
          <w:szCs w:val="21"/>
          <w:highlight w:val="none"/>
        </w:rPr>
        <w:t xml:space="preserve">。</w:t>
      </w:r>
      <w:r/>
    </w:p>
    <w:p>
      <w:pPr>
        <w:ind w:firstLine="420"/>
        <w:spacing w:line="400" w:lineRule="exact"/>
        <w:rPr>
          <w:color w:val="auto"/>
          <w:szCs w:val="21"/>
          <w:highlight w:val="none"/>
        </w:rPr>
      </w:pPr>
      <w:r>
        <w:rPr>
          <w:color w:val="auto"/>
          <w:szCs w:val="21"/>
          <w:highlight w:val="none"/>
        </w:rPr>
        <w:t xml:space="preserve">拟派协审人员名单</w:t>
      </w:r>
      <w:r>
        <w:rPr>
          <w:b/>
          <w:bCs/>
          <w:color w:val="auto"/>
          <w:szCs w:val="21"/>
          <w:highlight w:val="none"/>
        </w:rPr>
        <w:t xml:space="preserve">前</w:t>
      </w:r>
      <w:r>
        <w:rPr>
          <w:rFonts w:hint="eastAsia"/>
          <w:b/>
          <w:bCs/>
          <w:color w:val="auto"/>
          <w:szCs w:val="21"/>
          <w:highlight w:val="none"/>
        </w:rPr>
        <w:t xml:space="preserve">12</w:t>
      </w:r>
      <w:r>
        <w:rPr>
          <w:b/>
          <w:bCs/>
          <w:color w:val="auto"/>
          <w:szCs w:val="21"/>
          <w:highlight w:val="none"/>
        </w:rPr>
        <w:t xml:space="preserve">人中</w:t>
      </w:r>
      <w:r>
        <w:rPr>
          <w:color w:val="auto"/>
          <w:szCs w:val="21"/>
          <w:highlight w:val="none"/>
        </w:rPr>
        <w:t xml:space="preserve">，</w:t>
      </w:r>
      <w:r>
        <w:rPr>
          <w:b/>
          <w:bCs/>
          <w:color w:val="auto"/>
          <w:szCs w:val="21"/>
          <w:highlight w:val="none"/>
        </w:rPr>
        <w:t xml:space="preserve">必须土建、安装执业专业均有人员配备</w:t>
      </w:r>
      <w:r>
        <w:rPr>
          <w:color w:val="auto"/>
          <w:szCs w:val="21"/>
          <w:highlight w:val="none"/>
        </w:rPr>
        <w:t xml:space="preserve">（以该人员具有职业资格证书或执业注册证书证明为准），</w:t>
      </w:r>
      <w:r>
        <w:rPr>
          <w:b/>
          <w:bCs/>
          <w:color w:val="auto"/>
          <w:szCs w:val="21"/>
          <w:highlight w:val="none"/>
        </w:rPr>
        <w:t xml:space="preserve">否则不得分</w:t>
      </w:r>
      <w:r>
        <w:rPr>
          <w:color w:val="auto"/>
          <w:szCs w:val="21"/>
          <w:highlight w:val="none"/>
        </w:rPr>
        <w:t xml:space="preserve">。</w:t>
      </w:r>
      <w:r/>
    </w:p>
    <w:p>
      <w:pPr>
        <w:ind w:firstLine="420"/>
        <w:spacing w:line="400" w:lineRule="exact"/>
        <w:rPr>
          <w:color w:val="auto"/>
          <w:szCs w:val="21"/>
          <w:highlight w:val="none"/>
        </w:rPr>
      </w:pPr>
      <w:r>
        <w:rPr>
          <w:color w:val="auto"/>
          <w:szCs w:val="21"/>
          <w:highlight w:val="none"/>
        </w:rPr>
        <w:t xml:space="preserve">1、拟选派人员中一级造价工程师满4人的得基本分8分，每增加1名加2分，最高得</w:t>
      </w:r>
      <w:r>
        <w:rPr>
          <w:rFonts w:hint="eastAsia"/>
          <w:color w:val="auto"/>
          <w:szCs w:val="21"/>
          <w:highlight w:val="none"/>
        </w:rPr>
        <w:t xml:space="preserve">2</w:t>
      </w:r>
      <w:r>
        <w:rPr>
          <w:color w:val="auto"/>
          <w:szCs w:val="21"/>
          <w:highlight w:val="none"/>
        </w:rPr>
        <w:t xml:space="preserve">4分。（</w:t>
      </w:r>
      <w:r>
        <w:rPr>
          <w:rFonts w:hint="eastAsia"/>
          <w:color w:val="auto"/>
          <w:szCs w:val="21"/>
          <w:highlight w:val="none"/>
        </w:rPr>
        <w:t xml:space="preserve">须</w:t>
      </w:r>
      <w:r>
        <w:rPr>
          <w:color w:val="auto"/>
          <w:szCs w:val="21"/>
          <w:highlight w:val="none"/>
        </w:rPr>
        <w:t xml:space="preserve">提供</w:t>
      </w:r>
      <w:r>
        <w:rPr>
          <w:rFonts w:hint="eastAsia"/>
          <w:color w:val="auto"/>
          <w:szCs w:val="21"/>
          <w:highlight w:val="none"/>
        </w:rPr>
        <w:t xml:space="preserve">对应</w:t>
      </w:r>
      <w:r>
        <w:rPr>
          <w:color w:val="auto"/>
          <w:szCs w:val="21"/>
          <w:highlight w:val="none"/>
        </w:rPr>
        <w:t xml:space="preserve">一级造价工程师执业资格证书复印件）</w:t>
      </w:r>
      <w:r/>
    </w:p>
    <w:p>
      <w:pPr>
        <w:ind w:firstLine="420"/>
        <w:spacing w:line="400" w:lineRule="exact"/>
        <w:rPr>
          <w:color w:val="auto"/>
          <w:szCs w:val="21"/>
          <w:highlight w:val="none"/>
        </w:rPr>
      </w:pPr>
      <w:r>
        <w:rPr>
          <w:color w:val="auto"/>
          <w:szCs w:val="21"/>
          <w:highlight w:val="none"/>
        </w:rPr>
        <w:t xml:space="preserve">2、拟选派人员</w:t>
      </w:r>
      <w:r>
        <w:rPr>
          <w:rFonts w:hint="eastAsia"/>
          <w:color w:val="auto"/>
          <w:szCs w:val="21"/>
          <w:highlight w:val="none"/>
        </w:rPr>
        <w:t xml:space="preserve">中，</w:t>
      </w:r>
      <w:r>
        <w:rPr>
          <w:color w:val="auto"/>
          <w:szCs w:val="21"/>
          <w:highlight w:val="none"/>
        </w:rPr>
        <w:t xml:space="preserve">每有一位</w:t>
      </w:r>
      <w:r>
        <w:rPr>
          <w:rFonts w:hint="eastAsia"/>
          <w:color w:val="auto"/>
          <w:szCs w:val="21"/>
          <w:highlight w:val="none"/>
        </w:rPr>
        <w:t xml:space="preserve">具有工程类中级职称的得0.5分，工程类</w:t>
      </w:r>
      <w:r>
        <w:rPr>
          <w:color w:val="auto"/>
          <w:szCs w:val="21"/>
          <w:highlight w:val="none"/>
        </w:rPr>
        <w:t xml:space="preserve">高级职称</w:t>
      </w:r>
      <w:r>
        <w:rPr>
          <w:rFonts w:hint="eastAsia"/>
          <w:color w:val="auto"/>
          <w:szCs w:val="21"/>
          <w:highlight w:val="none"/>
        </w:rPr>
        <w:t xml:space="preserve">得</w:t>
      </w:r>
      <w:r>
        <w:rPr>
          <w:color w:val="auto"/>
          <w:szCs w:val="21"/>
          <w:highlight w:val="none"/>
        </w:rPr>
        <w:t xml:space="preserve">1分</w:t>
      </w:r>
      <w:r>
        <w:rPr>
          <w:rFonts w:hint="eastAsia"/>
          <w:color w:val="auto"/>
          <w:szCs w:val="21"/>
          <w:highlight w:val="none"/>
        </w:rPr>
        <w:t xml:space="preserve">，</w:t>
      </w:r>
      <w:r>
        <w:rPr>
          <w:color w:val="auto"/>
          <w:szCs w:val="21"/>
          <w:highlight w:val="none"/>
        </w:rPr>
        <w:t xml:space="preserve">最高得12分</w:t>
      </w:r>
      <w:r>
        <w:rPr>
          <w:rFonts w:hint="eastAsia"/>
          <w:color w:val="auto"/>
          <w:szCs w:val="21"/>
          <w:highlight w:val="none"/>
        </w:rPr>
        <w:t xml:space="preserve">，同一人员不累计得分</w:t>
      </w:r>
      <w:r>
        <w:rPr>
          <w:color w:val="auto"/>
          <w:szCs w:val="21"/>
          <w:highlight w:val="none"/>
        </w:rPr>
        <w:t xml:space="preserve">。（</w:t>
      </w:r>
      <w:r>
        <w:rPr>
          <w:rFonts w:hint="eastAsia"/>
          <w:color w:val="auto"/>
          <w:szCs w:val="21"/>
          <w:highlight w:val="none"/>
        </w:rPr>
        <w:t xml:space="preserve">须</w:t>
      </w:r>
      <w:r>
        <w:rPr>
          <w:color w:val="auto"/>
          <w:szCs w:val="21"/>
          <w:highlight w:val="none"/>
        </w:rPr>
        <w:t xml:space="preserve">提供</w:t>
      </w:r>
      <w:r>
        <w:rPr>
          <w:rFonts w:hint="eastAsia"/>
          <w:color w:val="auto"/>
          <w:szCs w:val="21"/>
          <w:highlight w:val="none"/>
        </w:rPr>
        <w:t xml:space="preserve">对应</w:t>
      </w:r>
      <w:r>
        <w:rPr>
          <w:color w:val="auto"/>
          <w:szCs w:val="21"/>
          <w:highlight w:val="none"/>
        </w:rPr>
        <w:t xml:space="preserve">职称复印件）</w:t>
      </w:r>
      <w:r/>
    </w:p>
    <w:p>
      <w:pPr>
        <w:ind w:firstLine="420"/>
        <w:spacing w:line="400" w:lineRule="exact"/>
        <w:rPr>
          <w:color w:val="auto"/>
          <w:szCs w:val="21"/>
          <w:highlight w:val="none"/>
        </w:rPr>
      </w:pPr>
      <w:r>
        <w:rPr>
          <w:color w:val="auto"/>
          <w:szCs w:val="21"/>
          <w:highlight w:val="none"/>
        </w:rPr>
        <w:t xml:space="preserve">3、</w:t>
      </w:r>
      <w:r>
        <w:rPr>
          <w:rFonts w:hint="eastAsia"/>
          <w:color w:val="auto"/>
          <w:szCs w:val="21"/>
          <w:highlight w:val="none"/>
        </w:rPr>
        <w:t xml:space="preserve">拟选派人员专业情况，满分</w:t>
      </w:r>
      <w:r>
        <w:rPr>
          <w:color w:val="auto"/>
          <w:szCs w:val="21"/>
          <w:highlight w:val="none"/>
        </w:rPr>
        <w:t xml:space="preserve">8</w:t>
      </w:r>
      <w:r>
        <w:rPr>
          <w:rFonts w:hint="eastAsia"/>
          <w:color w:val="auto"/>
          <w:szCs w:val="21"/>
          <w:highlight w:val="none"/>
        </w:rPr>
        <w:t xml:space="preserve">分（提供专业学历证明或者202</w:t>
      </w:r>
      <w:r>
        <w:rPr>
          <w:color w:val="auto"/>
          <w:szCs w:val="21"/>
          <w:highlight w:val="none"/>
        </w:rPr>
        <w:t xml:space="preserve">2</w:t>
      </w:r>
      <w:r>
        <w:rPr>
          <w:rFonts w:hint="eastAsia"/>
          <w:color w:val="auto"/>
          <w:szCs w:val="21"/>
          <w:highlight w:val="none"/>
        </w:rPr>
        <w:t xml:space="preserve">年以来由该专业人员完成的业绩报告复印件</w:t>
      </w:r>
      <w:r>
        <w:rPr>
          <w:rFonts w:hint="eastAsia"/>
          <w:b/>
          <w:bCs/>
          <w:color w:val="auto"/>
          <w:szCs w:val="21"/>
          <w:highlight w:val="none"/>
        </w:rPr>
        <w:t xml:space="preserve">（需能体现从事专业）</w:t>
      </w:r>
      <w:r>
        <w:rPr>
          <w:rFonts w:hint="eastAsia"/>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具有市政专业人员每1人次得1分，本项最高得2分；</w:t>
      </w:r>
      <w:r/>
    </w:p>
    <w:p>
      <w:pPr>
        <w:ind w:firstLine="420"/>
        <w:spacing w:line="400" w:lineRule="exact"/>
        <w:rPr>
          <w:color w:val="auto"/>
          <w:szCs w:val="21"/>
          <w:highlight w:val="none"/>
        </w:rPr>
      </w:pPr>
      <w:r>
        <w:rPr>
          <w:rFonts w:hint="eastAsia"/>
          <w:color w:val="auto"/>
          <w:szCs w:val="21"/>
          <w:highlight w:val="none"/>
        </w:rPr>
        <w:t xml:space="preserve">具有水利专业人员每1人次得1分，本项最高得2分；</w:t>
      </w:r>
      <w:r/>
    </w:p>
    <w:p>
      <w:pPr>
        <w:ind w:firstLine="420"/>
        <w:spacing w:line="400" w:lineRule="exact"/>
        <w:rPr>
          <w:color w:val="auto"/>
          <w:szCs w:val="21"/>
          <w:highlight w:val="none"/>
        </w:rPr>
      </w:pPr>
      <w:r>
        <w:rPr>
          <w:rFonts w:hint="eastAsia"/>
          <w:color w:val="auto"/>
          <w:szCs w:val="21"/>
          <w:highlight w:val="none"/>
        </w:rPr>
        <w:t xml:space="preserve">具有园林绿化专业人员每1人次得1分，本项最高得2分；</w:t>
      </w:r>
      <w:r/>
    </w:p>
    <w:p>
      <w:pPr>
        <w:ind w:firstLine="420"/>
        <w:spacing w:line="400" w:lineRule="exact"/>
        <w:rPr>
          <w:color w:val="auto"/>
          <w:highlight w:val="none"/>
        </w:rPr>
      </w:pPr>
      <w:r>
        <w:rPr>
          <w:rFonts w:hint="eastAsia"/>
          <w:color w:val="auto"/>
          <w:szCs w:val="21"/>
          <w:highlight w:val="none"/>
        </w:rPr>
        <w:t xml:space="preserve">具有古建专业人员每1人次得1分，本项最高得2分。</w:t>
      </w:r>
      <w:r/>
    </w:p>
    <w:p>
      <w:pPr>
        <w:ind w:firstLine="420"/>
        <w:spacing w:line="400" w:lineRule="exact"/>
        <w:rPr>
          <w:color w:val="auto"/>
          <w:szCs w:val="21"/>
          <w:highlight w:val="none"/>
        </w:rPr>
      </w:pPr>
      <w:r>
        <w:rPr>
          <w:rFonts w:hint="eastAsia"/>
          <w:color w:val="auto"/>
          <w:szCs w:val="21"/>
          <w:highlight w:val="none"/>
        </w:rPr>
        <w:t xml:space="preserve">4、拟选派人员2022、2023、2024年（以报告出具时间列入统计）已完成工程造价咨询的项目情况：</w:t>
      </w:r>
      <w:r>
        <w:rPr>
          <w:color w:val="auto"/>
          <w:szCs w:val="21"/>
          <w:highlight w:val="none"/>
        </w:rPr>
        <w:t xml:space="preserve">20</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本项所指工程造价咨询项目指由拟选派人员（协审人员名单前12人）负责或参与的工程造价咨询项目。</w:t>
      </w:r>
      <w:r/>
    </w:p>
    <w:p>
      <w:pPr>
        <w:ind w:firstLine="420"/>
        <w:spacing w:line="400" w:lineRule="exact"/>
        <w:rPr>
          <w:color w:val="auto"/>
          <w:szCs w:val="21"/>
          <w:highlight w:val="none"/>
        </w:rPr>
      </w:pPr>
      <w:r>
        <w:rPr>
          <w:rFonts w:hint="eastAsia"/>
          <w:color w:val="auto"/>
          <w:szCs w:val="21"/>
          <w:highlight w:val="none"/>
        </w:rPr>
        <w:t xml:space="preserve">所提供项目咨询报告的执业签章人员须为拟选派本项目人员，如人员情况不一致，此项不得分。</w:t>
      </w:r>
      <w:r/>
    </w:p>
    <w:p>
      <w:pPr>
        <w:ind w:firstLine="420"/>
        <w:spacing w:line="400" w:lineRule="exact"/>
        <w:rPr>
          <w:color w:val="auto"/>
          <w:szCs w:val="21"/>
          <w:highlight w:val="none"/>
        </w:rPr>
      </w:pPr>
      <w:r>
        <w:rPr>
          <w:rFonts w:hint="eastAsia"/>
          <w:color w:val="auto"/>
          <w:szCs w:val="21"/>
          <w:highlight w:val="none"/>
        </w:rPr>
        <w:t xml:space="preserve">如项目为拟选派人员在其他单位完成，则除提供报告及相应证明材料外，应另行提供完成期间与咨询合同、成果报告中签章单位相对应的社保证明、执业资格注册证明。</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拟选派人员2022、2023、2024年负责或参与完成的</w:t>
      </w:r>
      <w:r>
        <w:rPr>
          <w:rFonts w:hint="eastAsia" w:ascii="宋体" w:hAnsi="宋体" w:cs="宋体"/>
          <w:b/>
          <w:bCs/>
          <w:color w:val="auto"/>
          <w:highlight w:val="none"/>
          <w:lang w:val="zh-CN"/>
        </w:rPr>
        <w:t xml:space="preserve">工程结算审核</w:t>
      </w:r>
      <w:r>
        <w:rPr>
          <w:rFonts w:hint="eastAsia" w:ascii="宋体" w:hAnsi="宋体" w:cs="宋体"/>
          <w:color w:val="auto"/>
          <w:highlight w:val="none"/>
          <w:lang w:val="zh-CN"/>
        </w:rPr>
        <w:t xml:space="preserve">项目</w:t>
      </w:r>
      <w:r>
        <w:rPr>
          <w:rFonts w:hint="eastAsia"/>
          <w:color w:val="auto"/>
          <w:szCs w:val="21"/>
          <w:highlight w:val="none"/>
        </w:rPr>
        <w:t xml:space="preserve">（以提供10个项目为上限，超过1</w:t>
      </w:r>
      <w:r>
        <w:rPr>
          <w:color w:val="auto"/>
          <w:szCs w:val="21"/>
          <w:highlight w:val="none"/>
        </w:rPr>
        <w:t xml:space="preserve">0</w:t>
      </w:r>
      <w:r>
        <w:rPr>
          <w:rFonts w:hint="eastAsia"/>
          <w:color w:val="auto"/>
          <w:szCs w:val="21"/>
          <w:highlight w:val="none"/>
        </w:rPr>
        <w:t xml:space="preserve">个以前1</w:t>
      </w:r>
      <w:r>
        <w:rPr>
          <w:color w:val="auto"/>
          <w:szCs w:val="21"/>
          <w:highlight w:val="none"/>
        </w:rPr>
        <w:t xml:space="preserve">0</w:t>
      </w:r>
      <w:r>
        <w:rPr>
          <w:rFonts w:hint="eastAsia"/>
          <w:color w:val="auto"/>
          <w:szCs w:val="21"/>
          <w:highlight w:val="none"/>
        </w:rPr>
        <w:t xml:space="preserve">个为准，</w:t>
      </w:r>
      <w:r>
        <w:rPr>
          <w:rFonts w:hint="eastAsia" w:ascii="宋体" w:hAnsi="宋体" w:cs="宋体"/>
          <w:bCs/>
          <w:color w:val="auto"/>
          <w:highlight w:val="none"/>
          <w:lang w:val="zh-CN"/>
        </w:rPr>
        <w:t xml:space="preserve">以报告出具时间列入统计</w:t>
      </w:r>
      <w:r>
        <w:rPr>
          <w:rFonts w:hint="eastAsia"/>
          <w:color w:val="auto"/>
          <w:szCs w:val="21"/>
          <w:highlight w:val="none"/>
        </w:rPr>
        <w:t xml:space="preserve">），审定金额在</w:t>
      </w:r>
      <w:r>
        <w:rPr>
          <w:color w:val="auto"/>
          <w:szCs w:val="21"/>
          <w:highlight w:val="none"/>
        </w:rPr>
        <w:t xml:space="preserve">1</w:t>
      </w:r>
      <w:r>
        <w:rPr>
          <w:rFonts w:hint="eastAsia"/>
          <w:color w:val="auto"/>
          <w:szCs w:val="21"/>
          <w:highlight w:val="none"/>
        </w:rPr>
        <w:t xml:space="preserve">000万元（不含）以下的，每个得</w:t>
      </w:r>
      <w:r>
        <w:rPr>
          <w:color w:val="auto"/>
          <w:szCs w:val="21"/>
          <w:highlight w:val="none"/>
        </w:rPr>
        <w:t xml:space="preserve">0.2</w:t>
      </w:r>
      <w:r>
        <w:rPr>
          <w:rFonts w:hint="eastAsia"/>
          <w:color w:val="auto"/>
          <w:szCs w:val="21"/>
          <w:highlight w:val="none"/>
        </w:rPr>
        <w:t xml:space="preserve">分；审定金额在1</w:t>
      </w:r>
      <w:r>
        <w:rPr>
          <w:color w:val="auto"/>
          <w:szCs w:val="21"/>
          <w:highlight w:val="none"/>
        </w:rPr>
        <w:t xml:space="preserve">000</w:t>
      </w:r>
      <w:r>
        <w:rPr>
          <w:rFonts w:hint="eastAsia"/>
          <w:color w:val="auto"/>
          <w:szCs w:val="21"/>
          <w:highlight w:val="none"/>
        </w:rPr>
        <w:t xml:space="preserve">万元（含）到5000万元（不含）以下的，每个得</w:t>
      </w:r>
      <w:r>
        <w:rPr>
          <w:color w:val="auto"/>
          <w:szCs w:val="21"/>
          <w:highlight w:val="none"/>
        </w:rPr>
        <w:t xml:space="preserve">0.3</w:t>
      </w:r>
      <w:r>
        <w:rPr>
          <w:rFonts w:hint="eastAsia"/>
          <w:color w:val="auto"/>
          <w:szCs w:val="21"/>
          <w:highlight w:val="none"/>
        </w:rPr>
        <w:t xml:space="preserve">分；5000万元（含）到</w:t>
      </w:r>
      <w:r>
        <w:rPr>
          <w:color w:val="auto"/>
          <w:szCs w:val="21"/>
          <w:highlight w:val="none"/>
        </w:rPr>
        <w:t xml:space="preserve">1</w:t>
      </w:r>
      <w:r>
        <w:rPr>
          <w:rFonts w:hint="eastAsia"/>
          <w:color w:val="auto"/>
          <w:szCs w:val="21"/>
          <w:highlight w:val="none"/>
        </w:rPr>
        <w:t xml:space="preserve">亿元（不含）的，每个得</w:t>
      </w:r>
      <w:r>
        <w:rPr>
          <w:color w:val="auto"/>
          <w:szCs w:val="21"/>
          <w:highlight w:val="none"/>
        </w:rPr>
        <w:t xml:space="preserve">0.8</w:t>
      </w:r>
      <w:r>
        <w:rPr>
          <w:rFonts w:hint="eastAsia"/>
          <w:color w:val="auto"/>
          <w:szCs w:val="21"/>
          <w:highlight w:val="none"/>
        </w:rPr>
        <w:t xml:space="preserve">分；1亿元（含）到2亿元（不含）的，每个得</w:t>
      </w:r>
      <w:r>
        <w:rPr>
          <w:color w:val="auto"/>
          <w:szCs w:val="21"/>
          <w:highlight w:val="none"/>
        </w:rPr>
        <w:t xml:space="preserve">1.5</w:t>
      </w:r>
      <w:r>
        <w:rPr>
          <w:rFonts w:hint="eastAsia"/>
          <w:color w:val="auto"/>
          <w:szCs w:val="21"/>
          <w:highlight w:val="none"/>
        </w:rPr>
        <w:t xml:space="preserve">分；2亿元（含）以上的，每个得</w:t>
      </w:r>
      <w:r>
        <w:rPr>
          <w:color w:val="auto"/>
          <w:szCs w:val="21"/>
          <w:highlight w:val="none"/>
        </w:rPr>
        <w:t xml:space="preserve">2</w:t>
      </w:r>
      <w:r>
        <w:rPr>
          <w:rFonts w:hint="eastAsia"/>
          <w:color w:val="auto"/>
          <w:szCs w:val="21"/>
          <w:highlight w:val="none"/>
        </w:rPr>
        <w:t xml:space="preserve">分（拟选派人员共同参与同一项目的，不重复得分），没有具体项目经验的不得分，本项最高得</w:t>
      </w:r>
      <w:r>
        <w:rPr>
          <w:color w:val="auto"/>
          <w:szCs w:val="21"/>
          <w:highlight w:val="none"/>
        </w:rPr>
        <w:t xml:space="preserve">20</w:t>
      </w:r>
      <w:r>
        <w:rPr>
          <w:rFonts w:hint="eastAsia"/>
          <w:color w:val="auto"/>
          <w:szCs w:val="21"/>
          <w:highlight w:val="none"/>
        </w:rPr>
        <w:t xml:space="preserve">分。</w:t>
      </w:r>
      <w:r/>
    </w:p>
    <w:p>
      <w:pPr>
        <w:ind w:firstLine="420"/>
        <w:spacing w:line="400" w:lineRule="exact"/>
        <w:rPr>
          <w:color w:val="auto"/>
          <w:szCs w:val="21"/>
          <w:highlight w:val="none"/>
        </w:rPr>
      </w:pPr>
      <w:r>
        <w:rPr>
          <w:rFonts w:hint="eastAsia" w:ascii="宋体" w:hAnsi="宋体" w:cs="宋体"/>
          <w:bCs/>
          <w:color w:val="auto"/>
          <w:highlight w:val="none"/>
          <w:lang w:val="zh-CN"/>
        </w:rPr>
        <w:t xml:space="preserve">工程结算审核项目</w:t>
      </w:r>
      <w:r>
        <w:rPr>
          <w:rFonts w:hint="eastAsia"/>
          <w:color w:val="auto"/>
          <w:szCs w:val="21"/>
          <w:highlight w:val="none"/>
        </w:rPr>
        <w:t xml:space="preserve">必须提供造价咨询合同、咨询成果报告（符合造价执业规范）、工程结算审定单</w:t>
      </w:r>
      <w:r>
        <w:rPr>
          <w:rFonts w:hint="eastAsia" w:ascii="宋体" w:hAnsi="宋体" w:cs="宋体"/>
          <w:bCs/>
          <w:color w:val="auto"/>
          <w:highlight w:val="none"/>
          <w:lang w:val="zh-CN"/>
        </w:rPr>
        <w:t xml:space="preserve">（</w:t>
      </w:r>
      <w:r>
        <w:rPr>
          <w:rFonts w:hint="eastAsia"/>
          <w:bCs/>
          <w:color w:val="auto"/>
          <w:szCs w:val="21"/>
          <w:highlight w:val="none"/>
        </w:rPr>
        <w:t xml:space="preserve">能够反映项目规模、委托单位和完成时间，</w:t>
      </w:r>
      <w:r>
        <w:rPr>
          <w:rFonts w:hint="eastAsia"/>
          <w:b/>
          <w:color w:val="auto"/>
          <w:szCs w:val="21"/>
          <w:highlight w:val="none"/>
        </w:rPr>
        <w:t xml:space="preserve">如审定单信息不全，需另行提供委托方证明</w:t>
      </w:r>
      <w:r>
        <w:rPr>
          <w:rFonts w:hint="eastAsia" w:ascii="宋体" w:hAnsi="宋体" w:cs="宋体"/>
          <w:bCs/>
          <w:color w:val="auto"/>
          <w:highlight w:val="none"/>
          <w:lang w:val="zh-CN"/>
        </w:rPr>
        <w:t xml:space="preserve">）</w:t>
      </w:r>
      <w:r>
        <w:rPr>
          <w:rFonts w:hint="eastAsia"/>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5、拟选派人员咨询服务年限，满分10分</w:t>
      </w:r>
      <w:r/>
    </w:p>
    <w:p>
      <w:pPr>
        <w:ind w:firstLine="420"/>
        <w:spacing w:line="400" w:lineRule="exact"/>
        <w:rPr>
          <w:color w:val="auto"/>
          <w:szCs w:val="21"/>
          <w:highlight w:val="none"/>
        </w:rPr>
      </w:pPr>
      <w:r>
        <w:rPr>
          <w:rFonts w:hint="eastAsia"/>
          <w:color w:val="auto"/>
          <w:szCs w:val="21"/>
          <w:highlight w:val="none"/>
        </w:rPr>
        <w:t xml:space="preserve">拟选派人员从事工程造价咨询服务工作时间满10年的，每有一位得2分，最高得10分，提供相关证明资料并加盖单位公章。</w:t>
      </w:r>
      <w:r/>
    </w:p>
    <w:p>
      <w:pPr>
        <w:ind w:firstLine="420"/>
        <w:spacing w:line="400" w:lineRule="exact"/>
        <w:rPr>
          <w:color w:val="auto"/>
          <w:szCs w:val="21"/>
          <w:highlight w:val="none"/>
        </w:rPr>
      </w:pPr>
      <w:r>
        <w:rPr>
          <w:rFonts w:hint="eastAsia"/>
          <w:color w:val="auto"/>
          <w:szCs w:val="21"/>
          <w:highlight w:val="none"/>
        </w:rPr>
        <w:t xml:space="preserve">（二）服务方案比较</w:t>
      </w:r>
      <w:r>
        <w:rPr>
          <w:rFonts w:hint="eastAsia"/>
          <w:color w:val="auto"/>
          <w:szCs w:val="21"/>
          <w:highlight w:val="none"/>
        </w:rPr>
        <w:t xml:space="preserve">（</w:t>
      </w:r>
      <w:r>
        <w:rPr>
          <w:color w:val="auto"/>
          <w:szCs w:val="21"/>
          <w:highlight w:val="none"/>
        </w:rPr>
        <w:t xml:space="preserve">26</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1、企业内部管理制度</w:t>
      </w:r>
      <w:r>
        <w:rPr>
          <w:color w:val="auto"/>
          <w:szCs w:val="21"/>
          <w:highlight w:val="none"/>
        </w:rPr>
        <w:t xml:space="preserve">10</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主要简述单位内部各项管理制度的执行情况，包括人员组织、人员培训、财务制度、档案管理、内控制度、职业操守、廉洁自律和保密制度等，附相关制度文件：最高</w:t>
      </w:r>
      <w:r>
        <w:rPr>
          <w:color w:val="auto"/>
          <w:szCs w:val="21"/>
          <w:highlight w:val="none"/>
        </w:rPr>
        <w:t xml:space="preserve">10</w:t>
      </w:r>
      <w:r>
        <w:rPr>
          <w:rFonts w:hint="eastAsia"/>
          <w:color w:val="auto"/>
          <w:szCs w:val="21"/>
          <w:highlight w:val="none"/>
        </w:rPr>
        <w:t xml:space="preserve">分，未作说明的不得分。评分要点：</w:t>
      </w:r>
      <w:r/>
    </w:p>
    <w:p>
      <w:pPr>
        <w:ind w:firstLine="420"/>
        <w:spacing w:line="400" w:lineRule="exact"/>
        <w:rPr>
          <w:color w:val="auto"/>
          <w:szCs w:val="21"/>
          <w:highlight w:val="none"/>
        </w:rPr>
      </w:pPr>
      <w:r>
        <w:rPr>
          <w:rFonts w:hint="eastAsia"/>
          <w:color w:val="auto"/>
          <w:szCs w:val="21"/>
          <w:highlight w:val="none"/>
        </w:rPr>
        <w:t xml:space="preserve">（1）提供有质量控制制度（要有业务复核机制、质量保证措施等相关内容）满分</w:t>
      </w:r>
      <w:r>
        <w:rPr>
          <w:color w:val="auto"/>
          <w:szCs w:val="21"/>
          <w:highlight w:val="none"/>
        </w:rPr>
        <w:t xml:space="preserve">4</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质量控制制度内容完整明确，可行性高的得</w:t>
      </w:r>
      <w:r>
        <w:rPr>
          <w:color w:val="auto"/>
          <w:szCs w:val="21"/>
          <w:highlight w:val="none"/>
        </w:rPr>
        <w:t xml:space="preserve">4</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质量控制制度内容较为完整明确，可行性较高的得</w:t>
      </w:r>
      <w:r>
        <w:rPr>
          <w:color w:val="auto"/>
          <w:szCs w:val="21"/>
          <w:highlight w:val="none"/>
        </w:rPr>
        <w:t xml:space="preserve">2</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质量控制制度内容简单片面，可行性低的得</w:t>
      </w:r>
      <w:r>
        <w:rPr>
          <w:color w:val="auto"/>
          <w:szCs w:val="21"/>
          <w:highlight w:val="none"/>
        </w:rPr>
        <w:t xml:space="preserve">1</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（2）人事管理制度（要有人员组织架构、人员教育培训机制、廉政自律教育等相关内容），满分</w:t>
      </w:r>
      <w:r>
        <w:rPr>
          <w:color w:val="auto"/>
          <w:szCs w:val="21"/>
          <w:highlight w:val="none"/>
        </w:rPr>
        <w:t xml:space="preserve">4</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人事管理制度内容完整明确，可行性高的得</w:t>
      </w:r>
      <w:r>
        <w:rPr>
          <w:color w:val="auto"/>
          <w:szCs w:val="21"/>
          <w:highlight w:val="none"/>
        </w:rPr>
        <w:t xml:space="preserve">4</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人事管理制度内容较为完整明确，可行性较高的得</w:t>
      </w:r>
      <w:r>
        <w:rPr>
          <w:color w:val="auto"/>
          <w:szCs w:val="21"/>
          <w:highlight w:val="none"/>
        </w:rPr>
        <w:t xml:space="preserve">2</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人事管理制度内容简单片面，可行性低的得</w:t>
      </w:r>
      <w:r>
        <w:rPr>
          <w:color w:val="auto"/>
          <w:szCs w:val="21"/>
          <w:highlight w:val="none"/>
        </w:rPr>
        <w:t xml:space="preserve">1</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（3）企业财务制度及档案管理制度（企业财务管理制度流程规范、操作性强，档案管理制度科学合理、归档严格、强化监管）满分</w:t>
      </w:r>
      <w:r>
        <w:rPr>
          <w:color w:val="auto"/>
          <w:szCs w:val="21"/>
          <w:highlight w:val="none"/>
        </w:rPr>
        <w:t xml:space="preserve">2</w:t>
      </w:r>
      <w:r>
        <w:rPr>
          <w:rFonts w:hint="eastAsia"/>
          <w:color w:val="auto"/>
          <w:szCs w:val="21"/>
          <w:highlight w:val="none"/>
        </w:rPr>
        <w:t xml:space="preserve">分：</w:t>
      </w:r>
      <w:r/>
    </w:p>
    <w:p>
      <w:pPr>
        <w:ind w:left="420"/>
        <w:spacing w:line="400" w:lineRule="exact"/>
        <w:rPr>
          <w:color w:val="auto"/>
          <w:szCs w:val="21"/>
          <w:highlight w:val="none"/>
        </w:rPr>
      </w:pPr>
      <w:r>
        <w:rPr>
          <w:rFonts w:hint="eastAsia"/>
          <w:color w:val="auto"/>
          <w:szCs w:val="21"/>
          <w:highlight w:val="none"/>
        </w:rPr>
        <w:t xml:space="preserve">企业财务制度及档案管理制度完整的，可行性高的得</w:t>
      </w:r>
      <w:r>
        <w:rPr>
          <w:color w:val="auto"/>
          <w:szCs w:val="21"/>
          <w:highlight w:val="none"/>
        </w:rPr>
        <w:t xml:space="preserve">2</w:t>
      </w:r>
      <w:r>
        <w:rPr>
          <w:rFonts w:hint="eastAsia"/>
          <w:color w:val="auto"/>
          <w:szCs w:val="21"/>
          <w:highlight w:val="none"/>
        </w:rPr>
        <w:t xml:space="preserve">分；</w:t>
      </w:r>
      <w:r/>
    </w:p>
    <w:p>
      <w:pPr>
        <w:ind w:left="420"/>
        <w:spacing w:line="400" w:lineRule="exact"/>
        <w:rPr>
          <w:color w:val="auto"/>
          <w:szCs w:val="21"/>
          <w:highlight w:val="none"/>
        </w:rPr>
      </w:pPr>
      <w:r>
        <w:rPr>
          <w:rFonts w:hint="eastAsia"/>
          <w:color w:val="auto"/>
          <w:szCs w:val="21"/>
          <w:highlight w:val="none"/>
        </w:rPr>
        <w:t xml:space="preserve">企业财务制度及档案管理制度较为完整，可行性较高的得</w:t>
      </w:r>
      <w:r>
        <w:rPr>
          <w:color w:val="auto"/>
          <w:szCs w:val="21"/>
          <w:highlight w:val="none"/>
        </w:rPr>
        <w:t xml:space="preserve">1</w:t>
      </w:r>
      <w:r>
        <w:rPr>
          <w:rFonts w:hint="eastAsia"/>
          <w:color w:val="auto"/>
          <w:szCs w:val="21"/>
          <w:highlight w:val="none"/>
        </w:rPr>
        <w:t xml:space="preserve">分；</w:t>
      </w:r>
      <w:r/>
    </w:p>
    <w:p>
      <w:pPr>
        <w:ind w:left="420"/>
        <w:spacing w:line="400" w:lineRule="exact"/>
        <w:rPr>
          <w:color w:val="auto"/>
          <w:szCs w:val="21"/>
          <w:highlight w:val="none"/>
        </w:rPr>
      </w:pPr>
      <w:r>
        <w:rPr>
          <w:rFonts w:hint="eastAsia"/>
          <w:color w:val="auto"/>
          <w:szCs w:val="21"/>
          <w:highlight w:val="none"/>
        </w:rPr>
        <w:t xml:space="preserve">企业财务制度及档案管理制度简单片面，可行性较低的得</w:t>
      </w:r>
      <w:r>
        <w:rPr>
          <w:color w:val="auto"/>
          <w:szCs w:val="21"/>
          <w:highlight w:val="none"/>
        </w:rPr>
        <w:t xml:space="preserve">0.5</w:t>
      </w:r>
      <w:r>
        <w:rPr>
          <w:rFonts w:hint="eastAsia"/>
          <w:color w:val="auto"/>
          <w:szCs w:val="21"/>
          <w:highlight w:val="none"/>
        </w:rPr>
        <w:t xml:space="preserve">分。</w:t>
      </w:r>
      <w:r/>
    </w:p>
    <w:p>
      <w:pPr>
        <w:ind w:firstLine="420"/>
        <w:spacing w:line="400" w:lineRule="exact"/>
        <w:rPr>
          <w:color w:val="auto"/>
          <w:szCs w:val="21"/>
          <w:highlight w:val="none"/>
        </w:rPr>
      </w:pPr>
      <w:r>
        <w:rPr>
          <w:rFonts w:hint="eastAsia"/>
          <w:color w:val="auto"/>
          <w:szCs w:val="21"/>
          <w:highlight w:val="none"/>
        </w:rPr>
        <w:t xml:space="preserve">2、服务工作方案 16分</w:t>
      </w:r>
      <w:r/>
    </w:p>
    <w:p>
      <w:pPr>
        <w:ind w:firstLine="420"/>
        <w:spacing w:line="400" w:lineRule="exact"/>
        <w:rPr>
          <w:color w:val="auto"/>
          <w:szCs w:val="21"/>
          <w:highlight w:val="none"/>
        </w:rPr>
      </w:pPr>
      <w:r>
        <w:rPr>
          <w:rFonts w:hint="eastAsia"/>
          <w:color w:val="auto"/>
          <w:szCs w:val="21"/>
          <w:highlight w:val="none"/>
        </w:rPr>
        <w:t xml:space="preserve">（1）根据投标人提供的针对本招标项目的</w:t>
      </w:r>
      <w:r>
        <w:rPr>
          <w:rFonts w:hint="eastAsia"/>
          <w:b/>
          <w:bCs/>
          <w:color w:val="auto"/>
          <w:szCs w:val="21"/>
          <w:highlight w:val="none"/>
        </w:rPr>
        <w:t xml:space="preserve">结算审核</w:t>
      </w:r>
      <w:r>
        <w:rPr>
          <w:rFonts w:hint="eastAsia"/>
          <w:color w:val="auto"/>
          <w:szCs w:val="21"/>
          <w:highlight w:val="none"/>
        </w:rPr>
        <w:t xml:space="preserve">服务工作方案进行综合评定，酌情评分，满分16分。</w:t>
      </w:r>
      <w:r/>
    </w:p>
    <w:p>
      <w:pPr>
        <w:ind w:firstLine="420"/>
        <w:spacing w:line="400" w:lineRule="exact"/>
        <w:rPr>
          <w:color w:val="auto"/>
          <w:szCs w:val="21"/>
          <w:highlight w:val="none"/>
        </w:rPr>
      </w:pPr>
      <w:r>
        <w:rPr>
          <w:rFonts w:hint="eastAsia"/>
          <w:color w:val="auto"/>
          <w:szCs w:val="21"/>
          <w:highlight w:val="none"/>
        </w:rPr>
        <w:t xml:space="preserve">服务方案（包含但不限于）：</w:t>
      </w:r>
      <w:r/>
    </w:p>
    <w:p>
      <w:pPr>
        <w:ind w:firstLine="420"/>
        <w:spacing w:line="400" w:lineRule="exact"/>
        <w:rPr>
          <w:color w:val="auto"/>
          <w:szCs w:val="21"/>
          <w:highlight w:val="none"/>
        </w:rPr>
      </w:pPr>
      <w:r>
        <w:rPr>
          <w:rFonts w:hint="eastAsia"/>
          <w:color w:val="auto"/>
          <w:szCs w:val="21"/>
          <w:highlight w:val="none"/>
        </w:rPr>
        <w:t xml:space="preserve">①项目组织管理及人员岗位职责</w:t>
      </w:r>
      <w:r/>
    </w:p>
    <w:p>
      <w:pPr>
        <w:ind w:firstLine="420"/>
        <w:spacing w:line="400" w:lineRule="exact"/>
        <w:rPr>
          <w:color w:val="auto"/>
          <w:szCs w:val="21"/>
          <w:highlight w:val="none"/>
        </w:rPr>
      </w:pPr>
      <w:r>
        <w:rPr>
          <w:rFonts w:hint="eastAsia"/>
          <w:color w:val="auto"/>
          <w:szCs w:val="21"/>
          <w:highlight w:val="none"/>
        </w:rPr>
        <w:t xml:space="preserve">②项目计划管理与进度保障措施</w:t>
      </w:r>
      <w:r/>
    </w:p>
    <w:p>
      <w:pPr>
        <w:ind w:firstLine="420"/>
        <w:spacing w:line="400" w:lineRule="exact"/>
        <w:rPr>
          <w:color w:val="auto"/>
          <w:szCs w:val="21"/>
          <w:highlight w:val="none"/>
        </w:rPr>
      </w:pPr>
      <w:r>
        <w:rPr>
          <w:rFonts w:hint="eastAsia"/>
          <w:color w:val="auto"/>
          <w:szCs w:val="21"/>
          <w:highlight w:val="none"/>
        </w:rPr>
        <w:t xml:space="preserve">③项目协审工作要点</w:t>
      </w:r>
      <w:r/>
    </w:p>
    <w:p>
      <w:pPr>
        <w:ind w:firstLine="420"/>
        <w:spacing w:line="400" w:lineRule="exact"/>
        <w:rPr>
          <w:color w:val="auto"/>
          <w:szCs w:val="21"/>
          <w:highlight w:val="none"/>
        </w:rPr>
      </w:pPr>
      <w:r>
        <w:rPr>
          <w:rFonts w:hint="eastAsia"/>
          <w:color w:val="auto"/>
          <w:szCs w:val="21"/>
          <w:highlight w:val="none"/>
        </w:rPr>
        <w:t xml:space="preserve">④项目实施程序和流程</w:t>
      </w:r>
      <w:r/>
    </w:p>
    <w:p>
      <w:pPr>
        <w:ind w:firstLine="420"/>
        <w:spacing w:line="400" w:lineRule="exact"/>
        <w:rPr>
          <w:color w:val="auto"/>
          <w:szCs w:val="21"/>
          <w:highlight w:val="none"/>
        </w:rPr>
      </w:pPr>
      <w:r>
        <w:rPr>
          <w:rFonts w:hint="eastAsia"/>
          <w:color w:val="auto"/>
          <w:szCs w:val="21"/>
          <w:highlight w:val="none"/>
        </w:rPr>
        <w:t xml:space="preserve">⑤项目质量保证体系及措施</w:t>
      </w:r>
      <w:r/>
    </w:p>
    <w:p>
      <w:pPr>
        <w:ind w:firstLine="420"/>
        <w:spacing w:line="400" w:lineRule="exact"/>
        <w:rPr>
          <w:color w:val="auto"/>
          <w:szCs w:val="21"/>
          <w:highlight w:val="none"/>
        </w:rPr>
      </w:pPr>
      <w:r>
        <w:rPr>
          <w:rFonts w:hint="eastAsia"/>
          <w:color w:val="auto"/>
          <w:szCs w:val="21"/>
          <w:highlight w:val="none"/>
        </w:rPr>
        <w:t xml:space="preserve">⑥项目风险防范与控制</w:t>
      </w:r>
      <w:r/>
    </w:p>
    <w:p>
      <w:pPr>
        <w:ind w:firstLine="420"/>
        <w:spacing w:line="400" w:lineRule="exact"/>
        <w:rPr>
          <w:color w:val="auto"/>
          <w:szCs w:val="21"/>
          <w:highlight w:val="none"/>
        </w:rPr>
      </w:pPr>
      <w:r>
        <w:rPr>
          <w:rFonts w:hint="eastAsia"/>
          <w:color w:val="auto"/>
          <w:szCs w:val="21"/>
          <w:highlight w:val="none"/>
        </w:rPr>
        <w:t xml:space="preserve">⑦应急响应服务</w:t>
      </w:r>
      <w:r/>
    </w:p>
    <w:p>
      <w:pPr>
        <w:ind w:firstLine="420"/>
        <w:spacing w:line="400" w:lineRule="exact"/>
        <w:rPr>
          <w:color w:val="auto"/>
          <w:szCs w:val="21"/>
          <w:highlight w:val="none"/>
        </w:rPr>
      </w:pPr>
      <w:r>
        <w:rPr>
          <w:rFonts w:hint="eastAsia"/>
          <w:color w:val="auto"/>
          <w:szCs w:val="21"/>
          <w:highlight w:val="none"/>
        </w:rPr>
        <w:t xml:space="preserve">⑧企业服务优势</w:t>
      </w:r>
      <w:r/>
    </w:p>
    <w:p>
      <w:pPr>
        <w:ind w:firstLine="420"/>
        <w:spacing w:line="400" w:lineRule="exact"/>
        <w:rPr>
          <w:color w:val="auto"/>
          <w:szCs w:val="21"/>
          <w:highlight w:val="none"/>
        </w:rPr>
      </w:pPr>
      <w:r>
        <w:rPr>
          <w:rFonts w:hint="eastAsia"/>
          <w:color w:val="auto"/>
          <w:szCs w:val="21"/>
          <w:highlight w:val="none"/>
        </w:rPr>
        <w:t xml:space="preserve">上述每一单项分值2分，总计16分。方案中上述单项有缺少的，相应单项不得分。</w:t>
      </w:r>
      <w:r/>
    </w:p>
    <w:p>
      <w:pPr>
        <w:ind w:firstLine="420"/>
        <w:spacing w:line="400" w:lineRule="exact"/>
        <w:rPr>
          <w:color w:val="auto"/>
          <w:szCs w:val="21"/>
          <w:highlight w:val="none"/>
        </w:rPr>
      </w:pPr>
      <w:r>
        <w:rPr>
          <w:rFonts w:hint="eastAsia"/>
          <w:color w:val="auto"/>
          <w:szCs w:val="21"/>
          <w:highlight w:val="none"/>
        </w:rPr>
        <w:t xml:space="preserve">评分要点：服务方案内容是否全面、完整；是否科学、合理，有针对性和实际可操作性；能否满足招标需求；文字、图表等表述是否规范，有无错误；是否缺项等。</w:t>
      </w:r>
      <w:r/>
    </w:p>
    <w:p>
      <w:pPr>
        <w:ind w:firstLine="420"/>
        <w:spacing w:line="400" w:lineRule="exact"/>
        <w:rPr>
          <w:color w:val="auto"/>
          <w:szCs w:val="21"/>
          <w:highlight w:val="none"/>
        </w:rPr>
      </w:pPr>
      <w:r>
        <w:rPr>
          <w:rFonts w:hint="eastAsia"/>
          <w:color w:val="auto"/>
          <w:szCs w:val="21"/>
          <w:highlight w:val="none"/>
        </w:rPr>
        <w:t xml:space="preserve">单项能全面满足评分要点内容的，得2分；</w:t>
      </w:r>
      <w:r/>
    </w:p>
    <w:p>
      <w:pPr>
        <w:ind w:firstLine="420"/>
        <w:spacing w:line="400" w:lineRule="exact"/>
        <w:rPr>
          <w:color w:val="auto"/>
          <w:szCs w:val="21"/>
          <w:highlight w:val="none"/>
        </w:rPr>
      </w:pPr>
      <w:r>
        <w:rPr>
          <w:rFonts w:hint="eastAsia"/>
          <w:color w:val="auto"/>
          <w:szCs w:val="21"/>
          <w:highlight w:val="none"/>
        </w:rPr>
        <w:t xml:space="preserve">单项能基本满足评分要点内容的，得1分；</w:t>
      </w:r>
      <w:r/>
    </w:p>
    <w:p>
      <w:pPr>
        <w:ind w:firstLine="420"/>
        <w:spacing w:line="400" w:lineRule="exact"/>
        <w:rPr>
          <w:color w:val="auto"/>
          <w:szCs w:val="21"/>
          <w:highlight w:val="none"/>
        </w:rPr>
      </w:pPr>
      <w:r>
        <w:rPr>
          <w:rFonts w:hint="eastAsia"/>
          <w:color w:val="auto"/>
          <w:szCs w:val="21"/>
          <w:highlight w:val="none"/>
        </w:rPr>
        <w:t xml:space="preserve">单项不能基本满足评分要点内容的，得0.5分；</w:t>
      </w:r>
      <w:r/>
    </w:p>
    <w:p>
      <w:pPr>
        <w:ind w:firstLine="420"/>
        <w:spacing w:line="400" w:lineRule="exact"/>
        <w:rPr>
          <w:color w:val="auto"/>
          <w:szCs w:val="21"/>
          <w:highlight w:val="none"/>
        </w:rPr>
      </w:pPr>
      <w:r>
        <w:rPr>
          <w:rFonts w:hint="eastAsia"/>
          <w:color w:val="auto"/>
          <w:szCs w:val="21"/>
          <w:highlight w:val="none"/>
        </w:rPr>
        <w:t xml:space="preserve">缺项不得分。</w:t>
      </w:r>
      <w:bookmarkEnd w:id="46"/>
      <w:r/>
      <w:r/>
    </w:p>
    <w:p>
      <w:pPr>
        <w:ind w:firstLine="420"/>
        <w:spacing w:line="400" w:lineRule="exact"/>
        <w:rPr>
          <w:color w:val="auto"/>
          <w:szCs w:val="21"/>
          <w:highlight w:val="none"/>
        </w:rPr>
      </w:pPr>
      <w:r>
        <w:rPr>
          <w:color w:val="auto"/>
          <w:szCs w:val="21"/>
          <w:highlight w:val="none"/>
        </w:rPr>
      </w:r>
      <w:r/>
    </w:p>
    <w:p>
      <w:pPr>
        <w:ind w:firstLine="413"/>
        <w:jc w:val="left"/>
        <w:spacing w:line="400" w:lineRule="exact"/>
        <w:widowControl/>
        <w:rPr>
          <w:b/>
          <w:color w:val="auto"/>
          <w:szCs w:val="21"/>
          <w:highlight w:val="none"/>
        </w:rPr>
      </w:pPr>
      <w:r>
        <w:rPr>
          <w:rFonts w:hint="eastAsia"/>
          <w:b/>
          <w:color w:val="auto"/>
          <w:szCs w:val="21"/>
          <w:highlight w:val="none"/>
        </w:rPr>
        <w:t xml:space="preserve">注：以上评分标准中的评分项，各投标单位均应提供相关的证明材料供评委评判，否则可被视为不具备该项得分的条件。</w:t>
      </w:r>
      <w:r/>
    </w:p>
    <w:p>
      <w:pPr>
        <w:ind w:firstLine="413"/>
        <w:jc w:val="left"/>
        <w:spacing w:line="400" w:lineRule="exact"/>
        <w:widowControl/>
        <w:rPr>
          <w:b/>
          <w:color w:val="auto"/>
          <w:szCs w:val="21"/>
          <w:highlight w:val="none"/>
        </w:rPr>
      </w:pPr>
      <w:r>
        <w:rPr>
          <w:b/>
          <w:color w:val="auto"/>
          <w:szCs w:val="21"/>
          <w:highlight w:val="none"/>
        </w:rPr>
      </w:r>
      <w:r/>
    </w:p>
    <w:p>
      <w:pPr>
        <w:jc w:val="right"/>
        <w:widowControl/>
        <w:rPr>
          <w:rFonts w:hAnsi="宋体"/>
          <w:color w:val="auto"/>
          <w:szCs w:val="21"/>
          <w:highlight w:val="none"/>
        </w:rPr>
      </w:pPr>
      <w:r>
        <w:rPr>
          <w:rFonts w:hint="eastAsia" w:hAnsi="宋体"/>
          <w:color w:val="auto"/>
          <w:szCs w:val="21"/>
          <w:highlight w:val="none"/>
        </w:rPr>
        <w:t xml:space="preserve">（全文完）</w:t>
      </w:r>
      <w:r/>
    </w:p>
    <w:p>
      <w:pPr>
        <w:rPr>
          <w:color w:val="auto"/>
          <w:highlight w:val="none"/>
        </w:rPr>
      </w:pPr>
      <w:r>
        <w:rPr>
          <w:color w:val="auto"/>
          <w:highlight w:val="none"/>
        </w:rPr>
      </w:r>
      <w:r/>
    </w:p>
    <w:p>
      <w:pPr>
        <w:ind w:right="420"/>
        <w:jc w:val="left"/>
        <w:widowControl/>
        <w:rPr>
          <w:rFonts w:hAnsi="宋体"/>
          <w:color w:val="auto"/>
          <w:szCs w:val="21"/>
          <w:highlight w:val="none"/>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Ansi="宋体"/>
          <w:color w:val="auto"/>
          <w:szCs w:val="21"/>
          <w:highlight w:val="none"/>
        </w:rPr>
        <w:br w:type="page" w:clear="all"/>
      </w:r>
      <w:r/>
    </w:p>
    <w:p>
      <w:pPr>
        <w:ind w:right="420"/>
        <w:jc w:val="left"/>
        <w:widowControl/>
        <w:rPr>
          <w:rFonts w:hAnsi="宋体"/>
          <w:color w:val="auto"/>
          <w:szCs w:val="21"/>
          <w:highlight w:val="none"/>
        </w:rPr>
      </w:pPr>
      <w:r>
        <w:rPr>
          <w:rFonts w:hint="eastAsia" w:hAnsi="宋体"/>
          <w:color w:val="auto"/>
          <w:szCs w:val="21"/>
          <w:highlight w:val="none"/>
        </w:rPr>
        <w:t xml:space="preserve">附件1：</w:t>
      </w:r>
      <w:r/>
    </w:p>
    <w:p>
      <w:pPr>
        <w:ind w:right="420"/>
        <w:jc w:val="center"/>
        <w:widowControl/>
        <w:rPr>
          <w:rFonts w:ascii="宋体" w:hAnsi="宋体"/>
          <w:color w:val="auto"/>
          <w:sz w:val="30"/>
          <w:szCs w:val="30"/>
          <w:highlight w:val="none"/>
        </w:rPr>
      </w:pPr>
      <w:r>
        <w:rPr>
          <w:rFonts w:hint="eastAsia" w:ascii="黑体" w:hAnsi="黑体" w:eastAsia="黑体" w:cs="宋体"/>
          <w:color w:val="auto"/>
          <w:sz w:val="24"/>
          <w:szCs w:val="24"/>
          <w:highlight w:val="none"/>
        </w:rPr>
        <w:t xml:space="preserve">苏州市姑苏区财政投资项目政府采购工程造价咨询服务付费标准</w:t>
      </w:r>
      <w:r/>
    </w:p>
    <w:tbl>
      <w:tblPr>
        <w:tblStyle w:val="735"/>
        <w:tblW w:w="0" w:type="auto"/>
        <w:tblInd w:w="91" w:type="dxa"/>
        <w:tblLayout w:type="autofit"/>
        <w:tblCellMar>
          <w:left w:w="108" w:type="dxa"/>
          <w:top w:w="0" w:type="dxa"/>
          <w:right w:w="108" w:type="dxa"/>
          <w:bottom w:w="0" w:type="dxa"/>
        </w:tblCellMar>
        <w:tblLook w:val="04A0" w:firstRow="1" w:lastRow="0" w:firstColumn="1" w:lastColumn="0" w:noHBand="0" w:noVBand="1"/>
      </w:tblPr>
      <w:tblGrid>
        <w:gridCol w:w="971"/>
        <w:gridCol w:w="2295"/>
        <w:gridCol w:w="817"/>
        <w:gridCol w:w="1300"/>
        <w:gridCol w:w="1477"/>
        <w:gridCol w:w="1516"/>
        <w:gridCol w:w="1398"/>
        <w:gridCol w:w="1359"/>
        <w:gridCol w:w="1221"/>
        <w:gridCol w:w="1729"/>
      </w:tblGrid>
      <w:tr>
        <w:trPr>
          <w:trHeight w:val="633"/>
        </w:trPr>
        <w:tc>
          <w:tcPr>
            <w:gridSpan w:val="10"/>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widowControl/>
              <w:rPr>
                <w:rFonts w:ascii="宋体" w:hAnsi="宋体" w:cs="宋体"/>
                <w:color w:val="auto"/>
                <w:szCs w:val="21"/>
                <w:highlight w:val="none"/>
              </w:rPr>
            </w:pPr>
            <w:r/>
            <w:bookmarkStart w:id="47" w:name="_Hlk207718333"/>
            <w:r>
              <w:rPr>
                <w:rFonts w:hint="eastAsia" w:ascii="宋体" w:hAnsi="宋体" w:cs="宋体"/>
                <w:color w:val="auto"/>
                <w:szCs w:val="21"/>
                <w:highlight w:val="none"/>
              </w:rPr>
              <w:t xml:space="preserve">（合同签订之日起至整个标段所有协审项目完成）</w:t>
            </w:r>
            <w:r/>
          </w:p>
        </w:tc>
      </w:tr>
      <w:tr>
        <w:trPr>
          <w:trHeight w:val="312"/>
        </w:trPr>
        <w:tc>
          <w:tcPr>
            <w:gridSpan w:val="10"/>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jc w:val="right"/>
              <w:widowControl/>
              <w:rPr>
                <w:rFonts w:ascii="宋体" w:hAnsi="宋体" w:cs="宋体"/>
                <w:color w:val="auto"/>
                <w:szCs w:val="21"/>
                <w:highlight w:val="none"/>
              </w:rPr>
            </w:pPr>
            <w:r>
              <w:rPr>
                <w:rFonts w:hint="eastAsia" w:ascii="宋体" w:hAnsi="宋体" w:cs="宋体"/>
                <w:color w:val="auto"/>
                <w:szCs w:val="21"/>
                <w:highlight w:val="none"/>
              </w:rPr>
              <w:t xml:space="preserve">费率：‰</w:t>
            </w:r>
            <w:r/>
          </w:p>
        </w:tc>
      </w:tr>
      <w:tr>
        <w:trPr>
          <w:trHeight w:val="415"/>
        </w:trPr>
        <w:tc>
          <w:tcPr>
            <w:gridSpan w:val="2"/>
            <w:tcBorders>
              <w:top w:val="none" w:color="000000" w:sz="4" w:space="0"/>
              <w:left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咨询项目名称</w:t>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计费基数</w:t>
            </w:r>
            <w:r/>
          </w:p>
        </w:tc>
        <w:tc>
          <w:tcPr>
            <w:gridSpan w:val="6"/>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划分标准</w:t>
            </w:r>
            <w:r/>
          </w:p>
        </w:tc>
        <w:tc>
          <w:tcPr>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备注</w:t>
            </w:r>
            <w:r/>
          </w:p>
        </w:tc>
      </w:tr>
      <w:tr>
        <w:trPr>
          <w:trHeight w:val="805"/>
        </w:trPr>
        <w:tc>
          <w:tcPr>
            <w:gridSpan w:val="2"/>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500万元以内（含）</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eastAsia="zh-CN"/>
              </w:rPr>
              <w:t xml:space="preserve">500万～1000万</w:t>
            </w:r>
            <w:r>
              <w:rPr>
                <w:rFonts w:hint="eastAsia" w:ascii="宋体" w:hAnsi="宋体" w:cs="宋体"/>
                <w:b/>
                <w:bCs/>
                <w:color w:val="auto"/>
                <w:szCs w:val="21"/>
                <w:highlight w:val="none"/>
              </w:rPr>
              <w:t xml:space="preserve">元（含）</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eastAsia="zh-CN"/>
              </w:rPr>
              <w:t xml:space="preserve">1000万～5000万</w:t>
            </w:r>
            <w:r>
              <w:rPr>
                <w:rFonts w:hint="eastAsia" w:ascii="宋体" w:hAnsi="宋体" w:cs="宋体"/>
                <w:b/>
                <w:bCs/>
                <w:color w:val="auto"/>
                <w:szCs w:val="21"/>
                <w:highlight w:val="none"/>
              </w:rPr>
              <w:t xml:space="preserve">元（含）</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500</w:t>
            </w:r>
            <w:r>
              <w:rPr>
                <w:rFonts w:ascii="宋体" w:hAnsi="宋体" w:cs="宋体"/>
                <w:b/>
                <w:bCs/>
                <w:color w:val="auto"/>
                <w:szCs w:val="21"/>
                <w:highlight w:val="none"/>
              </w:rPr>
              <w:t xml:space="preserve">0</w:t>
            </w:r>
            <w:r>
              <w:rPr>
                <w:rFonts w:hint="eastAsia" w:ascii="宋体" w:hAnsi="宋体" w:cs="宋体"/>
                <w:b/>
                <w:bCs/>
                <w:color w:val="auto"/>
                <w:szCs w:val="21"/>
                <w:highlight w:val="none"/>
                <w:lang w:val="en-US" w:eastAsia="zh-CN"/>
              </w:rPr>
              <w:t xml:space="preserve">万</w:t>
            </w:r>
            <w:r>
              <w:rPr>
                <w:rFonts w:hint="eastAsia" w:ascii="宋体" w:hAnsi="宋体" w:cs="宋体"/>
                <w:b/>
                <w:bCs/>
                <w:color w:val="auto"/>
                <w:szCs w:val="21"/>
                <w:highlight w:val="none"/>
              </w:rPr>
              <w:t xml:space="preserve">～1亿元（含）</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1亿元～5亿元（含）</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5亿元以上（含）</w:t>
            </w:r>
            <w:r/>
          </w:p>
        </w:tc>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959"/>
        </w:trPr>
        <w:tc>
          <w:tcPr>
            <w:tcBorders>
              <w:top w:val="none" w:color="000000" w:sz="4" w:space="0"/>
              <w:left w:val="single" w:color="auto" w:sz="4" w:space="0"/>
              <w:right w:val="single" w:color="auto" w:sz="4" w:space="0"/>
            </w:tcBorders>
            <w:tcW w:w="0" w:type="auto"/>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工程竣工结算审核</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基本收费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送审工程造价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0.98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0.77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0.63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0.49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t xml:space="preserve">0.35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差额定率累进计费，</w:t>
            </w:r>
            <w:r>
              <w:rPr>
                <w:rFonts w:hint="eastAsia" w:ascii="宋体" w:hAnsi="宋体"/>
                <w:color w:val="auto"/>
                <w:szCs w:val="21"/>
                <w:highlight w:val="none"/>
              </w:rPr>
              <w:t xml:space="preserve">不区分工程类别</w:t>
            </w:r>
            <w:r/>
          </w:p>
        </w:tc>
      </w:tr>
      <w:tr>
        <w:trPr>
          <w:trHeight w:val="959"/>
        </w:trPr>
        <w:tc>
          <w:tcPr>
            <w:tcBorders>
              <w:left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追加费用一（核减率低于7</w:t>
            </w:r>
            <w:r>
              <w:rPr>
                <w:rFonts w:ascii="宋体" w:hAnsi="宋体" w:cs="宋体"/>
                <w:color w:val="auto"/>
                <w:szCs w:val="21"/>
                <w:highlight w:val="none"/>
              </w:rPr>
              <w:t xml:space="preserve">%</w:t>
            </w:r>
            <w:r>
              <w:rPr>
                <w:rFonts w:hint="eastAsia" w:ascii="宋体" w:hAnsi="宋体" w:cs="宋体"/>
                <w:color w:val="auto"/>
                <w:szCs w:val="21"/>
                <w:highlight w:val="none"/>
              </w:rPr>
              <w:t xml:space="preserve">的部分，含7</w:t>
            </w:r>
            <w:r>
              <w:rPr>
                <w:rFonts w:ascii="宋体" w:hAnsi="宋体" w:cs="宋体"/>
                <w:color w:val="auto"/>
                <w:szCs w:val="21"/>
                <w:highlight w:val="none"/>
              </w:rPr>
              <w:t xml:space="preserve">%</w:t>
            </w: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核减额</w:t>
            </w:r>
            <w:r/>
          </w:p>
        </w:tc>
        <w:tc>
          <w:tcPr>
            <w:gridSpan w:val="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hint="eastAsia" w:ascii="宋体" w:hAnsi="宋体"/>
                <w:color w:val="auto"/>
                <w:szCs w:val="21"/>
                <w:highlight w:val="none"/>
              </w:rPr>
              <w:t xml:space="preserve">不区分工程类别</w:t>
            </w:r>
            <w:r/>
          </w:p>
        </w:tc>
      </w:tr>
      <w:tr>
        <w:trPr>
          <w:trHeight w:val="959"/>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追加费用二（核减率高于7%的部分，施工单位承担）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核减额</w:t>
            </w:r>
            <w:r/>
          </w:p>
        </w:tc>
        <w:tc>
          <w:tcPr>
            <w:gridSpan w:val="6"/>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ascii="宋体" w:hAnsi="宋体" w:cs="宋体"/>
                <w:color w:val="auto"/>
                <w:szCs w:val="21"/>
                <w:highlight w:val="none"/>
              </w:rPr>
            </w:pPr>
            <w:r>
              <w:rPr>
                <w:rFonts w:hint="eastAsia" w:ascii="宋体" w:hAnsi="宋体"/>
                <w:color w:val="auto"/>
                <w:szCs w:val="21"/>
                <w:highlight w:val="none"/>
              </w:rPr>
              <w:t xml:space="preserve">不区分工程类别</w:t>
            </w:r>
            <w:r/>
          </w:p>
        </w:tc>
      </w:tr>
      <w:tr>
        <w:trPr>
          <w:trHeight w:val="455"/>
        </w:trPr>
        <w:tc>
          <w:tcPr>
            <w:gridSpan w:val="9"/>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307"/>
        </w:trPr>
        <w:tc>
          <w:tcPr>
            <w:gridSpan w:val="10"/>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如有本表以外的协审服务项目发生，费用按苏价服〔2014〕383号付费标准的七折计取或合同双方协商确定。</w:t>
            </w:r>
            <w:r/>
          </w:p>
        </w:tc>
      </w:tr>
      <w:tr>
        <w:trPr>
          <w:trHeight w:val="364"/>
        </w:trPr>
        <w:tc>
          <w:tcPr>
            <w:gridSpan w:val="10"/>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根据本计费收费标准计取咨询收费金额在2100元以下时，按2100元计。</w:t>
            </w:r>
            <w:r/>
          </w:p>
        </w:tc>
      </w:tr>
      <w:tr>
        <w:trPr>
          <w:trHeight w:val="345"/>
        </w:trPr>
        <w:tc>
          <w:tcPr>
            <w:gridSpan w:val="10"/>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本付费标准作为中标项目签订合同计取协审服务费用的依据，合同费用结算根据合同约定结合项目协审业务考核情况进行调整。</w:t>
            </w:r>
            <w:bookmarkEnd w:id="47"/>
            <w:r/>
            <w:r/>
          </w:p>
        </w:tc>
      </w:tr>
    </w:tbl>
    <w:p>
      <w:pPr>
        <w:jc w:val="left"/>
        <w:widowControl/>
        <w:rPr>
          <w:rFonts w:ascii="宋体" w:hAnsi="宋体" w:cs="宋体"/>
          <w:color w:val="auto"/>
          <w:sz w:val="22"/>
          <w:highlight w:val="none"/>
        </w:rPr>
        <w:sectPr>
          <w:footnotePr/>
          <w:endnotePr/>
          <w:type w:val="nextPage"/>
          <w:pgSz w:w="16838" w:h="11906" w:orient="landscape"/>
          <w:pgMar w:top="1797" w:right="1440" w:bottom="1797" w:left="1440" w:header="851" w:footer="992" w:gutter="0"/>
          <w:cols w:num="1" w:sep="0" w:space="720" w:equalWidth="1"/>
          <w:docGrid w:linePitch="360"/>
        </w:sectPr>
      </w:pPr>
      <w:r>
        <w:rPr>
          <w:rFonts w:ascii="宋体" w:hAnsi="宋体" w:cs="宋体"/>
          <w:color w:val="auto"/>
          <w:sz w:val="22"/>
          <w:highlight w:val="none"/>
        </w:rPr>
      </w:r>
      <w:r/>
    </w:p>
    <w:p>
      <w:pPr>
        <w:ind w:right="420"/>
        <w:jc w:val="left"/>
        <w:widowControl/>
        <w:rPr>
          <w:rFonts w:hAnsi="宋体"/>
          <w:color w:val="auto"/>
          <w:szCs w:val="21"/>
          <w:highlight w:val="none"/>
        </w:rPr>
      </w:pPr>
      <w:r>
        <w:rPr>
          <w:rFonts w:hint="eastAsia" w:hAnsi="宋体"/>
          <w:color w:val="auto"/>
          <w:szCs w:val="21"/>
          <w:highlight w:val="none"/>
        </w:rPr>
        <w:t xml:space="preserve">附件2：考核办法</w:t>
      </w:r>
      <w:r/>
    </w:p>
    <w:p>
      <w:pPr>
        <w:jc w:val="center"/>
        <w:widowControl/>
        <w:rPr>
          <w:b/>
          <w:bCs/>
          <w:color w:val="auto"/>
          <w:sz w:val="28"/>
          <w:szCs w:val="28"/>
          <w:highlight w:val="none"/>
        </w:rPr>
      </w:pPr>
      <w:r/>
      <w:bookmarkStart w:id="48" w:name="_Hlk192064366"/>
      <w:r>
        <w:rPr>
          <w:rFonts w:hint="eastAsia"/>
          <w:b/>
          <w:bCs/>
          <w:color w:val="auto"/>
          <w:sz w:val="28"/>
          <w:szCs w:val="28"/>
          <w:highlight w:val="none"/>
        </w:rPr>
        <w:t xml:space="preserve">姑苏区财政投资项目工程竣工</w:t>
      </w:r>
      <w:r>
        <w:rPr>
          <w:rFonts w:hint="eastAsia" w:ascii="宋体" w:hAnsi="宋体"/>
          <w:b/>
          <w:bCs/>
          <w:color w:val="auto"/>
          <w:sz w:val="28"/>
          <w:szCs w:val="28"/>
          <w:highlight w:val="none"/>
        </w:rPr>
        <w:t xml:space="preserve">结算协审考核办法</w:t>
      </w:r>
      <w:bookmarkEnd w:id="48"/>
      <w:r/>
      <w:r/>
    </w:p>
    <w:p>
      <w:pPr>
        <w:jc w:val="center"/>
        <w:spacing w:line="240" w:lineRule="exact"/>
        <w:widowControl/>
        <w:rPr>
          <w:color w:val="auto"/>
          <w:sz w:val="32"/>
          <w:szCs w:val="32"/>
          <w:highlight w:val="none"/>
        </w:rPr>
      </w:pPr>
      <w:r>
        <w:rPr>
          <w:color w:val="auto"/>
          <w:sz w:val="32"/>
          <w:szCs w:val="32"/>
          <w:highlight w:val="none"/>
        </w:rPr>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第一条  本考核办法适用于姑苏区财政投资项目工程竣工结算造价审核咨询业务。</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第二条  本考核办法所称协审单位，是指经过政府采购公开招标产生的各标段工程造价咨询协审服务供应商。</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第三条  造价协审业务考核工作由姑苏区财政投资项目评审中心（以下简称评审中心）具体负责。</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第四条  协审单位和协审人员应严格按照国家有关法律、法规、</w:t>
      </w:r>
      <w:r>
        <w:rPr>
          <w:rFonts w:ascii="宋体" w:hAnsi="宋体"/>
          <w:color w:val="auto"/>
          <w:szCs w:val="21"/>
          <w:highlight w:val="none"/>
        </w:rPr>
        <w:t xml:space="preserve">行业规范</w:t>
      </w:r>
      <w:r>
        <w:rPr>
          <w:rFonts w:hint="eastAsia" w:ascii="宋体" w:hAnsi="宋体"/>
          <w:color w:val="auto"/>
          <w:szCs w:val="21"/>
          <w:highlight w:val="none"/>
        </w:rPr>
        <w:t xml:space="preserve">、制度规定以及有关执业道德规范要求</w:t>
      </w:r>
      <w:r>
        <w:rPr>
          <w:rFonts w:ascii="宋体" w:hAnsi="宋体"/>
          <w:color w:val="auto"/>
          <w:szCs w:val="21"/>
          <w:highlight w:val="none"/>
        </w:rPr>
        <w:t xml:space="preserve">独立、客观、公正地做出评审结论，并对评审结论承担责任</w:t>
      </w:r>
      <w:r>
        <w:rPr>
          <w:rFonts w:hint="eastAsia" w:ascii="宋体" w:hAnsi="宋体"/>
          <w:color w:val="auto"/>
          <w:szCs w:val="21"/>
          <w:highlight w:val="none"/>
        </w:rPr>
        <w:t xml:space="preserve">。协审单位在执业过程中应按照造价咨询执业规范、采购合同约定和区评审中心相关要求履行职责，接受评审中心监管。咨询人员应结合接收到的业务资料和现场实际情况，不受工程参与各方主客观意志影响，以专业知识和技能对建设项目做出客观准确的协审结论。协审单位和协审人员如有违法违规行为，经查实且情节严重的，实行一票否决，业务委托合同予以终止，相关业务咨询费用不予支付，并上报造价行业主管部门。触犯法律的，将移交有关部门并追究咨询单位和相关责任人的经济和法律责任。</w:t>
      </w:r>
      <w:r/>
    </w:p>
    <w:p>
      <w:pPr>
        <w:ind w:firstLine="420"/>
        <w:jc w:val="left"/>
        <w:spacing w:line="360" w:lineRule="auto"/>
        <w:widowControl/>
        <w:rPr>
          <w:color w:val="auto"/>
          <w:highlight w:val="none"/>
        </w:rPr>
      </w:pPr>
      <w:r>
        <w:rPr>
          <w:rFonts w:hint="eastAsia" w:ascii="宋体" w:hAnsi="宋体"/>
          <w:color w:val="auto"/>
          <w:szCs w:val="21"/>
          <w:highlight w:val="none"/>
        </w:rPr>
        <w:t xml:space="preserve">第五条  协审单位对委托业务的效率和质量负责，保证协审成果的真实性、完整性、可靠性，并妥善保存过程资料和咨询成果文件。第六条 </w:t>
      </w:r>
      <w:r>
        <w:rPr>
          <w:rFonts w:ascii="宋体" w:hAnsi="宋体"/>
          <w:color w:val="auto"/>
          <w:szCs w:val="21"/>
          <w:highlight w:val="none"/>
        </w:rPr>
        <w:t xml:space="preserve"> </w:t>
      </w:r>
      <w:r>
        <w:rPr>
          <w:rFonts w:hint="eastAsia" w:ascii="宋体" w:hAnsi="宋体"/>
          <w:color w:val="auto"/>
          <w:szCs w:val="21"/>
          <w:highlight w:val="none"/>
        </w:rPr>
        <w:t xml:space="preserve">协审单位应严格按照行业规范开展工作，实施资料审查、现场踏勘、量价审核、与建设单位或集中建设实施单位和施工单位对账、提交阶段性成果文件、档案归档等必要的工作程序, 重点关注基本建设程序执行情况、合同履行情况以及施工管理情况等。</w:t>
      </w:r>
      <w:r/>
    </w:p>
    <w:p>
      <w:pPr>
        <w:jc w:val="left"/>
        <w:spacing w:line="360" w:lineRule="auto"/>
        <w:widowControl/>
        <w:tabs>
          <w:tab w:val="left" w:pos="360" w:leader="none"/>
          <w:tab w:val="left" w:pos="1800" w:leader="none"/>
        </w:tabs>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ab/>
      </w:r>
      <w:r>
        <w:rPr>
          <w:rFonts w:hint="eastAsia" w:ascii="宋体" w:hAnsi="宋体"/>
          <w:color w:val="auto"/>
          <w:szCs w:val="21"/>
          <w:highlight w:val="none"/>
        </w:rPr>
        <w:t xml:space="preserve">第七条</w:t>
      </w:r>
      <w:bookmarkStart w:id="49" w:name="OLE_LINK15"/>
      <w:r>
        <w:rPr>
          <w:rFonts w:hint="eastAsia" w:ascii="宋体" w:hAnsi="宋体"/>
          <w:color w:val="auto"/>
          <w:szCs w:val="21"/>
          <w:highlight w:val="none"/>
        </w:rPr>
        <w:t xml:space="preserve">   </w:t>
      </w:r>
      <w:bookmarkEnd w:id="49"/>
      <w:r>
        <w:rPr>
          <w:rFonts w:hint="eastAsia" w:ascii="宋体" w:hAnsi="宋体"/>
          <w:color w:val="auto"/>
          <w:szCs w:val="21"/>
          <w:highlight w:val="none"/>
        </w:rPr>
        <w:t xml:space="preserve">协审业务考核以协审单位接受委托的项目协审全过程具体行为为对象进行管理考核。项目协审全过程是指协审单位从接受委托开始到业务完成出具报告返还资料结束。协审业务考核具体由区评审中心项目负责人进行考核。协审单位对考核结果有异议的，协审单位可在接到考核结果</w:t>
      </w:r>
      <w:r>
        <w:rPr>
          <w:rFonts w:ascii="宋体" w:hAnsi="宋体"/>
          <w:color w:val="auto"/>
          <w:szCs w:val="21"/>
          <w:highlight w:val="none"/>
        </w:rPr>
        <w:t xml:space="preserve">3</w:t>
      </w:r>
      <w:r>
        <w:rPr>
          <w:rFonts w:hint="eastAsia" w:ascii="宋体" w:hAnsi="宋体"/>
          <w:color w:val="auto"/>
          <w:szCs w:val="21"/>
          <w:highlight w:val="none"/>
        </w:rPr>
        <w:t xml:space="preserve">个工作日内提出申诉。</w:t>
      </w:r>
      <w:r/>
    </w:p>
    <w:p>
      <w:pPr>
        <w:ind w:firstLine="420"/>
        <w:jc w:val="left"/>
        <w:spacing w:line="360" w:lineRule="auto"/>
        <w:widowControl/>
        <w:tabs>
          <w:tab w:val="left" w:pos="1800" w:leader="none"/>
        </w:tabs>
        <w:rPr>
          <w:rFonts w:ascii="宋体" w:hAnsi="宋体"/>
          <w:color w:val="auto"/>
          <w:szCs w:val="21"/>
          <w:highlight w:val="none"/>
        </w:rPr>
      </w:pPr>
      <w:r>
        <w:rPr>
          <w:rFonts w:hint="eastAsia" w:ascii="宋体" w:hAnsi="宋体"/>
          <w:color w:val="auto"/>
          <w:szCs w:val="21"/>
          <w:highlight w:val="none"/>
        </w:rPr>
        <w:t xml:space="preserve">第八条</w:t>
      </w:r>
      <w:bookmarkStart w:id="50" w:name="_Hlk192064567"/>
      <w:r/>
      <w:bookmarkStart w:id="51" w:name="_Hlk192065024"/>
      <w:r>
        <w:rPr>
          <w:rFonts w:hint="eastAsia" w:ascii="宋体" w:hAnsi="宋体"/>
          <w:color w:val="auto"/>
          <w:szCs w:val="21"/>
          <w:highlight w:val="none"/>
        </w:rPr>
        <w:t xml:space="preserve">  协审业务考核按照服务质量、工作质量、服务质量、工作时效、工作纪律五个方面予以考核，采用扣分制，总分100分，扣完为止。具体要求及考核分值详见附表1《苏州市姑苏区财政投资项目评审中心工程结算协审工作考核表》。</w:t>
      </w:r>
      <w:r/>
    </w:p>
    <w:p>
      <w:pPr>
        <w:ind w:firstLine="560"/>
        <w:jc w:val="left"/>
        <w:spacing w:line="360" w:lineRule="auto"/>
        <w:widowControl/>
        <w:rPr>
          <w:rFonts w:ascii="宋体" w:hAnsi="宋体"/>
          <w:color w:val="auto"/>
          <w:szCs w:val="21"/>
          <w:highlight w:val="none"/>
        </w:rPr>
      </w:pPr>
      <w:r/>
      <w:bookmarkStart w:id="52" w:name="_Hlk207723007"/>
      <w:r>
        <w:rPr>
          <w:rFonts w:hint="eastAsia" w:ascii="宋体" w:hAnsi="宋体"/>
          <w:color w:val="auto"/>
          <w:szCs w:val="21"/>
          <w:highlight w:val="none"/>
        </w:rPr>
        <w:t xml:space="preserve">1.</w:t>
      </w:r>
      <w:bookmarkStart w:id="53" w:name="_Hlk207723153"/>
      <w:r>
        <w:rPr>
          <w:rFonts w:hint="eastAsia" w:ascii="宋体" w:hAnsi="宋体"/>
          <w:color w:val="auto"/>
          <w:szCs w:val="21"/>
          <w:highlight w:val="none"/>
        </w:rPr>
        <w:t xml:space="preserve"> 协审</w:t>
      </w:r>
      <w:bookmarkStart w:id="54" w:name="_Hlk207723214"/>
      <w:r>
        <w:rPr>
          <w:rFonts w:hint="eastAsia" w:ascii="宋体" w:hAnsi="宋体"/>
          <w:color w:val="auto"/>
          <w:szCs w:val="21"/>
          <w:highlight w:val="none"/>
        </w:rPr>
        <w:t xml:space="preserve">服务质量考核</w:t>
      </w:r>
      <w:bookmarkEnd w:id="54"/>
      <w:r>
        <w:rPr>
          <w:rFonts w:hint="eastAsia" w:ascii="宋体" w:hAnsi="宋体"/>
          <w:color w:val="auto"/>
          <w:szCs w:val="21"/>
          <w:highlight w:val="none"/>
        </w:rPr>
        <w:t xml:space="preserve">（</w:t>
      </w:r>
      <w:r>
        <w:rPr>
          <w:rFonts w:ascii="宋体" w:hAnsi="宋体"/>
          <w:color w:val="auto"/>
          <w:szCs w:val="21"/>
          <w:highlight w:val="none"/>
        </w:rPr>
        <w:t xml:space="preserve">55</w:t>
      </w:r>
      <w:r>
        <w:rPr>
          <w:rFonts w:hint="eastAsia" w:ascii="宋体" w:hAnsi="宋体"/>
          <w:color w:val="auto"/>
          <w:szCs w:val="21"/>
          <w:highlight w:val="none"/>
        </w:rPr>
        <w:t xml:space="preserve">分）</w:t>
      </w:r>
      <w:bookmarkEnd w:id="53"/>
      <w:r/>
      <w:r/>
    </w:p>
    <w:p>
      <w:pPr>
        <w:ind w:firstLine="560"/>
        <w:jc w:val="left"/>
        <w:spacing w:line="360" w:lineRule="auto"/>
        <w:widowControl/>
        <w:rPr>
          <w:rFonts w:ascii="宋体" w:hAnsi="宋体"/>
          <w:color w:val="auto"/>
          <w:szCs w:val="21"/>
          <w:highlight w:val="none"/>
        </w:rPr>
      </w:pPr>
      <w:r/>
      <w:bookmarkStart w:id="55" w:name="_Hlk207723135"/>
      <w:r>
        <w:rPr>
          <w:rFonts w:hint="eastAsia" w:ascii="宋体" w:hAnsi="宋体"/>
          <w:color w:val="auto"/>
          <w:szCs w:val="21"/>
          <w:highlight w:val="none"/>
        </w:rPr>
        <w:t xml:space="preserve">(1)协审单位应及时响应委托通知、领取项目资料、提交协审实施工作方案，三个阶段各按1个工作日为限，共6 分，超时一项扣2分，扣完为止。</w:t>
      </w:r>
      <w:r/>
    </w:p>
    <w:p>
      <w:pPr>
        <w:ind w:firstLine="560"/>
        <w:jc w:val="left"/>
        <w:spacing w:line="360" w:lineRule="auto"/>
        <w:widowControl/>
        <w:rPr>
          <w:color w:val="auto"/>
          <w:highlight w:val="none"/>
        </w:rPr>
      </w:pPr>
      <w:r>
        <w:rPr>
          <w:rFonts w:hint="eastAsia" w:ascii="宋体" w:hAnsi="宋体"/>
          <w:color w:val="auto"/>
          <w:szCs w:val="21"/>
          <w:highlight w:val="none"/>
        </w:rPr>
        <w:t xml:space="preserve">(2)</w:t>
      </w:r>
      <w:r>
        <w:rPr>
          <w:rFonts w:hint="eastAsia"/>
          <w:color w:val="auto"/>
          <w:highlight w:val="none"/>
        </w:rPr>
        <w:t xml:space="preserve">协审单位应</w:t>
      </w:r>
      <w:r>
        <w:rPr>
          <w:rFonts w:hint="eastAsia" w:ascii="宋体" w:hAnsi="宋体"/>
          <w:color w:val="auto"/>
          <w:szCs w:val="21"/>
          <w:highlight w:val="none"/>
        </w:rPr>
        <w:t xml:space="preserve">认真检查交接资料，在5天内发现交接资料的缺漏项问题，及时反馈评审中心，并配合评审中心及时联系收集缺漏项资料，共3分，若工作不到位，视影响程度扣1-3分，扣完为止。</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(3)项目实际协审人员应具有相应执业资格并与投标文件承诺计划投入人员一致，共5分，每不符一名扣1分，扣完为止。</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(4)</w:t>
      </w:r>
      <w:bookmarkStart w:id="56" w:name="OLE_LINK6"/>
      <w:r>
        <w:rPr>
          <w:rFonts w:hint="eastAsia" w:ascii="宋体" w:hAnsi="宋体"/>
          <w:color w:val="auto"/>
          <w:szCs w:val="21"/>
          <w:highlight w:val="none"/>
        </w:rPr>
        <w:t xml:space="preserve">协审单位人员未经评审中心许可不得擅自安排踏勘现场、进行对账、接受或传送结算相关资料</w:t>
      </w:r>
      <w:bookmarkEnd w:id="56"/>
      <w:r>
        <w:rPr>
          <w:rFonts w:hint="eastAsia" w:ascii="宋体" w:hAnsi="宋体"/>
          <w:color w:val="auto"/>
          <w:szCs w:val="21"/>
          <w:highlight w:val="none"/>
        </w:rPr>
        <w:t xml:space="preserve">，共3分，违反扣1-3分/项，扣完为止。</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协审单位应及时对项目进行现场踏勘并填写现场踏勘记录表，共</w:t>
      </w:r>
      <w:r>
        <w:rPr>
          <w:rFonts w:ascii="宋体" w:hAnsi="宋体"/>
          <w:color w:val="auto"/>
          <w:szCs w:val="21"/>
          <w:highlight w:val="none"/>
        </w:rPr>
        <w:t xml:space="preserve">3</w:t>
      </w:r>
      <w:r>
        <w:rPr>
          <w:rFonts w:hint="eastAsia" w:ascii="宋体" w:hAnsi="宋体"/>
          <w:color w:val="auto"/>
          <w:szCs w:val="21"/>
          <w:highlight w:val="none"/>
        </w:rPr>
        <w:t xml:space="preserve">分，违反扣3分。</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6)</w:t>
      </w:r>
      <w:r>
        <w:rPr>
          <w:rFonts w:hint="eastAsia" w:ascii="宋体" w:hAnsi="宋体"/>
          <w:color w:val="auto"/>
          <w:szCs w:val="21"/>
          <w:highlight w:val="none"/>
        </w:rPr>
        <w:t xml:space="preserve">进行现场取证的部位、时间、人员、取证图片等要素应符合要求，共3分，不符一处扣1分/项，扣完为止。</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协审单位与项目单位进行结算对账时应有详细的对账记录，共3分，未有记录或记录内容虚假扣3分。</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协审单位应及时就项目单位提出的反馈意见进行重新核实或做出说明的，共</w:t>
      </w:r>
      <w:r>
        <w:rPr>
          <w:rFonts w:ascii="宋体" w:hAnsi="宋体"/>
          <w:color w:val="auto"/>
          <w:szCs w:val="21"/>
          <w:highlight w:val="none"/>
        </w:rPr>
        <w:t xml:space="preserve">3</w:t>
      </w:r>
      <w:r>
        <w:rPr>
          <w:rFonts w:hint="eastAsia" w:ascii="宋体" w:hAnsi="宋体"/>
          <w:color w:val="auto"/>
          <w:szCs w:val="21"/>
          <w:highlight w:val="none"/>
        </w:rPr>
        <w:t xml:space="preserve">分，未及时响应的扣3分。</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9)</w:t>
      </w:r>
      <w:r>
        <w:rPr>
          <w:rFonts w:hint="eastAsia" w:ascii="宋体" w:hAnsi="宋体"/>
          <w:color w:val="auto"/>
          <w:szCs w:val="21"/>
          <w:highlight w:val="none"/>
        </w:rPr>
        <w:t xml:space="preserve">协审单位应按要求出具协审结算确认单和工程结算审定单，共</w:t>
      </w:r>
      <w:r>
        <w:rPr>
          <w:rFonts w:ascii="宋体" w:hAnsi="宋体"/>
          <w:color w:val="auto"/>
          <w:szCs w:val="21"/>
          <w:highlight w:val="none"/>
        </w:rPr>
        <w:t xml:space="preserve">5</w:t>
      </w:r>
      <w:r>
        <w:rPr>
          <w:rFonts w:hint="eastAsia" w:ascii="宋体" w:hAnsi="宋体"/>
          <w:color w:val="auto"/>
          <w:szCs w:val="21"/>
          <w:highlight w:val="none"/>
        </w:rPr>
        <w:t xml:space="preserve">分，</w:t>
      </w:r>
      <w:bookmarkStart w:id="57" w:name="OLE_LINK7"/>
      <w:r>
        <w:rPr>
          <w:rFonts w:hint="eastAsia" w:ascii="宋体" w:hAnsi="宋体"/>
          <w:color w:val="auto"/>
          <w:szCs w:val="21"/>
          <w:highlight w:val="none"/>
        </w:rPr>
        <w:t xml:space="preserve">未出具扣</w:t>
      </w:r>
      <w:r>
        <w:rPr>
          <w:rFonts w:ascii="宋体" w:hAnsi="宋体"/>
          <w:color w:val="auto"/>
          <w:szCs w:val="21"/>
          <w:highlight w:val="none"/>
        </w:rPr>
        <w:t xml:space="preserve">5</w:t>
      </w:r>
      <w:r>
        <w:rPr>
          <w:rFonts w:hint="eastAsia" w:ascii="宋体" w:hAnsi="宋体"/>
          <w:color w:val="auto"/>
          <w:szCs w:val="21"/>
          <w:highlight w:val="none"/>
        </w:rPr>
        <w:t xml:space="preserve">分，出具格式、内容等不满足要求扣</w:t>
      </w:r>
      <w:r>
        <w:rPr>
          <w:rFonts w:ascii="宋体" w:hAnsi="宋体"/>
          <w:color w:val="auto"/>
          <w:szCs w:val="21"/>
          <w:highlight w:val="none"/>
        </w:rPr>
        <w:t xml:space="preserve">1-3</w:t>
      </w:r>
      <w:r>
        <w:rPr>
          <w:rFonts w:hint="eastAsia" w:ascii="宋体" w:hAnsi="宋体"/>
          <w:color w:val="auto"/>
          <w:szCs w:val="21"/>
          <w:highlight w:val="none"/>
        </w:rPr>
        <w:t xml:space="preserve">分/项，扣完为止。</w:t>
      </w:r>
      <w:bookmarkEnd w:id="57"/>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因特殊原因未能按进度完成协审工作，应当及时以书面形式向评审中心提出延期申请，共</w:t>
      </w:r>
      <w:r>
        <w:rPr>
          <w:rFonts w:ascii="宋体" w:hAnsi="宋体"/>
          <w:color w:val="auto"/>
          <w:szCs w:val="21"/>
          <w:highlight w:val="none"/>
        </w:rPr>
        <w:t xml:space="preserve">3</w:t>
      </w:r>
      <w:r>
        <w:rPr>
          <w:rFonts w:hint="eastAsia" w:ascii="宋体" w:hAnsi="宋体"/>
          <w:color w:val="auto"/>
          <w:szCs w:val="21"/>
          <w:highlight w:val="none"/>
        </w:rPr>
        <w:t xml:space="preserve">分（未及时提出延期申请扣</w:t>
      </w:r>
      <w:r>
        <w:rPr>
          <w:rFonts w:ascii="宋体" w:hAnsi="宋体"/>
          <w:color w:val="auto"/>
          <w:szCs w:val="21"/>
          <w:highlight w:val="none"/>
        </w:rPr>
        <w:t xml:space="preserve">3</w:t>
      </w:r>
      <w:r>
        <w:rPr>
          <w:rFonts w:hint="eastAsia" w:ascii="宋体" w:hAnsi="宋体"/>
          <w:color w:val="auto"/>
          <w:szCs w:val="21"/>
          <w:highlight w:val="none"/>
        </w:rPr>
        <w:t xml:space="preserve">分）。</w:t>
      </w:r>
      <w:r/>
    </w:p>
    <w:p>
      <w:pPr>
        <w:ind w:firstLine="560"/>
        <w:jc w:val="left"/>
        <w:spacing w:line="360" w:lineRule="auto"/>
        <w:widowControl/>
        <w:rPr>
          <w:rFonts w:ascii="宋体" w:hAnsi="宋体"/>
          <w:color w:val="auto"/>
          <w:szCs w:val="21"/>
          <w:highlight w:val="none"/>
        </w:rPr>
      </w:pPr>
      <w:r/>
      <w:bookmarkStart w:id="58" w:name="OLE_LINK8"/>
      <w:r>
        <w:rPr>
          <w:rFonts w:hint="eastAsia" w:ascii="宋体" w:hAnsi="宋体"/>
          <w:color w:val="auto"/>
          <w:szCs w:val="21"/>
          <w:highlight w:val="none"/>
        </w:rPr>
        <w:t xml:space="preserve">(</w:t>
      </w:r>
      <w:r>
        <w:rPr>
          <w:rFonts w:ascii="宋体" w:hAnsi="宋体"/>
          <w:color w:val="auto"/>
          <w:szCs w:val="21"/>
          <w:highlight w:val="none"/>
        </w:rPr>
        <w:t xml:space="preserve">11)</w:t>
      </w:r>
      <w:r>
        <w:rPr>
          <w:rFonts w:hint="eastAsia" w:ascii="宋体" w:hAnsi="宋体"/>
          <w:color w:val="auto"/>
          <w:szCs w:val="21"/>
          <w:highlight w:val="none"/>
        </w:rPr>
        <w:t xml:space="preserve">协审人员应具有良好的服务态度和沟通协调及解决问题能力</w:t>
      </w:r>
      <w:bookmarkEnd w:id="58"/>
      <w:r>
        <w:rPr>
          <w:rFonts w:hint="eastAsia" w:ascii="宋体" w:hAnsi="宋体"/>
          <w:color w:val="auto"/>
          <w:szCs w:val="21"/>
          <w:highlight w:val="none"/>
        </w:rPr>
        <w:t xml:space="preserve">，共</w:t>
      </w:r>
      <w:r>
        <w:rPr>
          <w:rFonts w:ascii="宋体" w:hAnsi="宋体"/>
          <w:color w:val="auto"/>
          <w:szCs w:val="21"/>
          <w:highlight w:val="none"/>
        </w:rPr>
        <w:t xml:space="preserve">10</w:t>
      </w:r>
      <w:r>
        <w:rPr>
          <w:rFonts w:hint="eastAsia" w:ascii="宋体" w:hAnsi="宋体"/>
          <w:color w:val="auto"/>
          <w:szCs w:val="21"/>
          <w:highlight w:val="none"/>
        </w:rPr>
        <w:t xml:space="preserve">分。服务态度好，工作积极，能主动与评审中心、项目建设单位、施工单位等有关各方进行沟通交流，做好相关政策规定的解释，处理争议事项，认真负责地完成协审工作，得10分；若服务态度一般扣3分，差扣5分；工作积极程度一般扣3分，差扣5分；因沟通协调处理不当与项目单位发生争议未及时主动报告或未及时协调处理解决的，发现一次扣5分，扣完为止。</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12)</w:t>
      </w:r>
      <w:r>
        <w:rPr>
          <w:rFonts w:hint="eastAsia" w:ascii="宋体" w:hAnsi="宋体"/>
          <w:color w:val="auto"/>
          <w:szCs w:val="21"/>
          <w:highlight w:val="none"/>
        </w:rPr>
        <w:t xml:space="preserve">协审单位应妥善保管已交接的协审项目资料，及时完整的返还领取的项目资料，共3分。因管理不善导致项目资料遗失的，根据造成不良后果的程度，扣1-3分，扣完为止。</w:t>
      </w:r>
      <w:bookmarkEnd w:id="55"/>
      <w:r/>
      <w:r/>
    </w:p>
    <w:p>
      <w:pPr>
        <w:ind w:firstLine="560"/>
        <w:jc w:val="left"/>
        <w:spacing w:line="360" w:lineRule="auto"/>
        <w:widowControl/>
        <w:rPr>
          <w:rFonts w:ascii="宋体" w:hAnsi="宋体"/>
          <w:color w:val="auto"/>
          <w:szCs w:val="21"/>
          <w:highlight w:val="none"/>
        </w:rPr>
      </w:pPr>
      <w:r/>
      <w:bookmarkStart w:id="59" w:name="_Hlk207724072"/>
      <w:r>
        <w:rPr>
          <w:rFonts w:ascii="宋体" w:hAnsi="宋体"/>
          <w:color w:val="auto"/>
          <w:szCs w:val="21"/>
          <w:highlight w:val="none"/>
        </w:rPr>
        <w:t xml:space="preserve">2</w:t>
      </w:r>
      <w:r>
        <w:rPr>
          <w:rFonts w:hint="eastAsia" w:ascii="宋体" w:hAnsi="宋体"/>
          <w:color w:val="auto"/>
          <w:szCs w:val="21"/>
          <w:highlight w:val="none"/>
        </w:rPr>
        <w:t xml:space="preserve">. </w:t>
      </w:r>
      <w:bookmarkStart w:id="60" w:name="_Hlk207723186"/>
      <w:r>
        <w:rPr>
          <w:rFonts w:hint="eastAsia" w:ascii="宋体" w:hAnsi="宋体"/>
          <w:color w:val="auto"/>
          <w:szCs w:val="21"/>
          <w:highlight w:val="none"/>
        </w:rPr>
        <w:t xml:space="preserve">协审</w:t>
      </w:r>
      <w:bookmarkStart w:id="61" w:name="_Hlk207723224"/>
      <w:r>
        <w:rPr>
          <w:rFonts w:hint="eastAsia" w:ascii="宋体" w:hAnsi="宋体"/>
          <w:color w:val="auto"/>
          <w:szCs w:val="21"/>
          <w:highlight w:val="none"/>
        </w:rPr>
        <w:t xml:space="preserve">工作质量</w:t>
      </w:r>
      <w:bookmarkEnd w:id="61"/>
      <w:r>
        <w:rPr>
          <w:rFonts w:hint="eastAsia" w:ascii="宋体" w:hAnsi="宋体"/>
          <w:color w:val="auto"/>
          <w:szCs w:val="21"/>
          <w:highlight w:val="none"/>
        </w:rPr>
        <w:t xml:space="preserve">考核（</w:t>
      </w:r>
      <w:r>
        <w:rPr>
          <w:rFonts w:ascii="宋体" w:hAnsi="宋体"/>
          <w:color w:val="auto"/>
          <w:szCs w:val="21"/>
          <w:highlight w:val="none"/>
        </w:rPr>
        <w:t xml:space="preserve">35</w:t>
      </w:r>
      <w:r>
        <w:rPr>
          <w:rFonts w:hint="eastAsia" w:ascii="宋体" w:hAnsi="宋体"/>
          <w:color w:val="auto"/>
          <w:szCs w:val="21"/>
          <w:highlight w:val="none"/>
        </w:rPr>
        <w:t xml:space="preserve">分）</w:t>
      </w:r>
      <w:bookmarkEnd w:id="60"/>
      <w:r/>
      <w:bookmarkEnd w:id="59"/>
      <w:r/>
      <w:r/>
    </w:p>
    <w:p>
      <w:pPr>
        <w:ind w:firstLine="560"/>
        <w:jc w:val="left"/>
        <w:spacing w:line="360" w:lineRule="auto"/>
        <w:widowControl/>
        <w:rPr>
          <w:rFonts w:ascii="宋体" w:hAnsi="宋体"/>
          <w:color w:val="auto"/>
          <w:szCs w:val="21"/>
          <w:highlight w:val="none"/>
        </w:rPr>
      </w:pPr>
      <w:r/>
      <w:bookmarkStart w:id="62" w:name="_Hlk207724006"/>
      <w:r>
        <w:rPr>
          <w:rFonts w:hint="eastAsia" w:ascii="宋体" w:hAnsi="宋体"/>
          <w:color w:val="auto"/>
          <w:szCs w:val="21"/>
          <w:highlight w:val="none"/>
        </w:rPr>
        <w:t xml:space="preserve">协审单位协审人员应依据项目送审资料、现场调查情况记录，结合国家、地方及行业相关法律、法规、规范和计价依据，认真审核项目工程造价，工程设计变更、施工现场签证的真实性、合法性情况；建设、监理、施工、勘察、设计等参建单位造价、质量、安全、工期等方面内部控制制度设置和落实情况，客观、公正、全面地完成结算项目协审工作。</w:t>
      </w:r>
      <w:r/>
    </w:p>
    <w:p>
      <w:pPr>
        <w:ind w:firstLine="56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协审工作要求包括但不限于工程量核定有计算底稿、具备完整的计算过程，计算规范、准确，与图纸及变更签证单相符；施工合同或招标文件条款适用准确，变更签证内容计算依据充分合理；取费费率及有价部分综合单价计取正确，无价部分定额子目套用及换算准确、规范，下浮率计算无误，工程量清单价、材料价格等调差正确。共1</w:t>
      </w:r>
      <w:r>
        <w:rPr>
          <w:rFonts w:ascii="宋体" w:hAnsi="宋体"/>
          <w:color w:val="auto"/>
          <w:szCs w:val="21"/>
          <w:highlight w:val="none"/>
        </w:rPr>
        <w:t xml:space="preserve">0</w:t>
      </w:r>
      <w:r>
        <w:rPr>
          <w:rFonts w:hint="eastAsia" w:ascii="宋体" w:hAnsi="宋体"/>
          <w:color w:val="auto"/>
          <w:szCs w:val="21"/>
          <w:highlight w:val="none"/>
        </w:rPr>
        <w:t xml:space="preserve">分，每发现错漏一项扣1分，扣完为止。</w:t>
      </w:r>
      <w:r/>
    </w:p>
    <w:p>
      <w:pPr>
        <w:ind w:firstLine="480"/>
        <w:jc w:val="left"/>
        <w:spacing w:line="390" w:lineRule="atLeast"/>
        <w:shd w:val="clear" w:color="auto" w:fill="ffffff"/>
        <w:widowControl/>
        <w:rPr>
          <w:rFonts w:ascii="宋体" w:hAnsi="宋体"/>
          <w:color w:val="auto"/>
          <w:szCs w:val="21"/>
          <w:highlight w:val="none"/>
        </w:rPr>
      </w:pPr>
      <w:r/>
      <w:bookmarkStart w:id="63" w:name="OLE_LINK17"/>
      <w:r>
        <w:rPr>
          <w:rFonts w:hint="eastAsia" w:ascii="宋体" w:hAnsi="宋体"/>
          <w:color w:val="auto"/>
          <w:szCs w:val="21"/>
          <w:highlight w:val="none"/>
        </w:rPr>
        <w:t xml:space="preserve">(</w:t>
      </w:r>
      <w:r>
        <w:rPr>
          <w:rFonts w:ascii="宋体" w:hAnsi="宋体"/>
          <w:color w:val="auto"/>
          <w:szCs w:val="21"/>
          <w:highlight w:val="none"/>
        </w:rPr>
        <w:t xml:space="preserve">2)</w:t>
      </w:r>
      <w:bookmarkEnd w:id="63"/>
      <w:r>
        <w:rPr>
          <w:rFonts w:hint="eastAsia" w:ascii="宋体" w:hAnsi="宋体"/>
          <w:color w:val="auto"/>
          <w:szCs w:val="21"/>
          <w:highlight w:val="none"/>
        </w:rPr>
        <w:t xml:space="preserve">协审单位应确保协审工作质量，共1</w:t>
      </w:r>
      <w:r>
        <w:rPr>
          <w:rFonts w:ascii="宋体" w:hAnsi="宋体"/>
          <w:color w:val="auto"/>
          <w:szCs w:val="21"/>
          <w:highlight w:val="none"/>
        </w:rPr>
        <w:t xml:space="preserve">0</w:t>
      </w:r>
      <w:r>
        <w:rPr>
          <w:rFonts w:hint="eastAsia" w:ascii="宋体" w:hAnsi="宋体"/>
          <w:color w:val="auto"/>
          <w:szCs w:val="21"/>
          <w:highlight w:val="none"/>
        </w:rPr>
        <w:t xml:space="preserve">分。除送审资料缺陷等非协审单位的原因外，因协审单位审核人员的主观原因而造成的差错，如错套定额、点错小数点、重项、漏项、工程量计算错误、高估冒算、因未到现场核实导致造价失实等工作失误引起的造价金额或数据发生较大差错的，差错率在</w:t>
      </w:r>
      <w:r>
        <w:rPr>
          <w:rFonts w:ascii="宋体" w:hAnsi="宋体"/>
          <w:color w:val="auto"/>
          <w:szCs w:val="21"/>
          <w:highlight w:val="none"/>
        </w:rPr>
        <w:t xml:space="preserve">2%</w:t>
      </w: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（含）的，扣</w:t>
      </w:r>
      <w:r>
        <w:rPr>
          <w:rFonts w:ascii="宋体" w:hAnsi="宋体"/>
          <w:color w:val="auto"/>
          <w:szCs w:val="21"/>
          <w:highlight w:val="none"/>
        </w:rPr>
        <w:t xml:space="preserve">5</w:t>
      </w:r>
      <w:r>
        <w:rPr>
          <w:rFonts w:hint="eastAsia" w:ascii="宋体" w:hAnsi="宋体"/>
          <w:color w:val="auto"/>
          <w:szCs w:val="21"/>
          <w:highlight w:val="none"/>
        </w:rPr>
        <w:t xml:space="preserve">分，差错率3%～5%（含）的，扣</w:t>
      </w:r>
      <w:r>
        <w:rPr>
          <w:rFonts w:ascii="宋体" w:hAnsi="宋体"/>
          <w:color w:val="auto"/>
          <w:szCs w:val="21"/>
          <w:highlight w:val="none"/>
        </w:rPr>
        <w:t xml:space="preserve">8</w:t>
      </w:r>
      <w:r>
        <w:rPr>
          <w:rFonts w:hint="eastAsia" w:ascii="宋体" w:hAnsi="宋体"/>
          <w:color w:val="auto"/>
          <w:szCs w:val="21"/>
          <w:highlight w:val="none"/>
        </w:rPr>
        <w:t xml:space="preserve">分，在5%以上的，扣10分，扣完为止。</w:t>
      </w:r>
      <w:r/>
    </w:p>
    <w:p>
      <w:pPr>
        <w:ind w:firstLine="480"/>
        <w:jc w:val="left"/>
        <w:spacing w:line="390" w:lineRule="atLeast"/>
        <w:shd w:val="clear" w:color="auto" w:fill="ffffff"/>
        <w:widowControl/>
        <w:rPr>
          <w:color w:val="auto"/>
          <w:highlight w:val="none"/>
        </w:rPr>
      </w:pPr>
      <w:r>
        <w:rPr>
          <w:rFonts w:hint="eastAsia" w:ascii="宋体" w:hAnsi="宋体"/>
          <w:color w:val="auto"/>
          <w:szCs w:val="21"/>
          <w:highlight w:val="none"/>
        </w:rPr>
        <w:t xml:space="preserve">考核以单个工程的差错率为考核指标。差错率以复审核增、核减差错金额绝对值相加计算，不相抵。差错率计算式如下：</w:t>
      </w:r>
      <w:r/>
    </w:p>
    <w:p>
      <w:pPr>
        <w:ind w:firstLine="424"/>
        <w:jc w:val="left"/>
        <w:spacing w:line="480" w:lineRule="atLeast"/>
        <w:shd w:val="clear" w:color="auto" w:fill="ffffff"/>
        <w:widowControl/>
        <w:rPr>
          <w:rFonts w:ascii="宋体" w:hAnsi="宋体"/>
          <w:color w:val="auto"/>
          <w:szCs w:val="21"/>
          <w:highlight w:val="none"/>
        </w:rPr>
      </w:pPr>
      <w:r/>
      <m:oMathPara>
        <m:oMathParaPr/>
        <m:oMath>
          <m:r>
            <w:rPr>
              <w:rFonts w:hint="eastAsia" w:ascii="Cambria Math" w:hAnsi="Cambria Math" w:cs="宋体"/>
              <w:color w:val="auto"/>
              <w:highlight w:val="none"/>
            </w:rPr>
            <m:rPr>
              <m:sty m:val="p"/>
            </m:rPr>
            <m:t>差错率</m:t>
          </m:r>
          <m:d>
            <m:dPr>
              <m:begChr m:val="（"/>
              <m:endChr m:val="）"/>
              <m:ctrlPr>
                <w:rPr>
                  <w:rFonts w:ascii="Cambria Math" w:hAnsi="宋体" w:cs="宋体"/>
                  <w:iCs/>
                  <w:color w:val="auto"/>
                  <w:highlight w:val="none"/>
                </w:rPr>
              </m:ctrlPr>
            </m:dPr>
            <m:e>
              <m:r>
                <w:rPr>
                  <w:rFonts w:hint="eastAsia" w:ascii="Cambria Math" w:hAnsi="宋体" w:cs="宋体"/>
                  <w:color w:val="auto"/>
                  <w:highlight w:val="none"/>
                </w:rPr>
                <m:rPr>
                  <m:sty m:val="p"/>
                </m:rPr>
                <m:t>X</m:t>
              </m:r>
            </m:e>
          </m:d>
          <m:r>
            <w:rPr>
              <w:rFonts w:ascii="Cambria Math" w:hAnsi="Cambria Math" w:eastAsia="Cambria Math"/>
              <w:color w:val="auto"/>
              <w:highlight w:val="none"/>
            </w:rPr>
            <m:rPr/>
            <m:t>=</m:t>
          </m:r>
          <m:f>
            <m:fPr>
              <m:ctrlPr>
                <w:rPr>
                  <w:rFonts w:ascii="Cambria Math" w:hAnsi="Cambria Math" w:eastAsia="Cambria Math"/>
                  <w:color w:val="auto"/>
                  <w:highlight w:val="none"/>
                </w:rPr>
              </m:ctrlPr>
            </m:fPr>
            <m:num>
              <m:d>
                <m:dPr>
                  <m:begChr m:val="|"/>
                  <m:endChr m:val="|"/>
                  <m:ctrlPr>
                    <w:rPr>
                      <w:rFonts w:ascii="Cambria Math" w:hAnsi="Cambria Math" w:eastAsia="Cambria Math"/>
                      <w:i/>
                      <w:color w:val="auto"/>
                      <w:highlight w:val="none"/>
                    </w:rPr>
                  </m:ctrlPr>
                </m:dPr>
                <m:e>
                  <m:r>
                    <w:rPr>
                      <w:rFonts w:hint="eastAsia" w:ascii="Cambria Math" w:hAnsi="Cambria Math" w:cs="宋体"/>
                      <w:color w:val="auto"/>
                      <w:highlight w:val="none"/>
                    </w:rPr>
                    <m:rPr>
                      <m:sty m:val="p"/>
                    </m:rPr>
                    <m:t>复审</m:t>
                  </m:r>
                  <m:r>
                    <w:rPr>
                      <w:rFonts w:hint="eastAsia" w:ascii="Cambria Math" w:hAnsi="宋体" w:cs="宋体"/>
                      <w:color w:val="auto"/>
                      <w:highlight w:val="none"/>
                    </w:rPr>
                    <m:rPr>
                      <m:sty m:val="p"/>
                    </m:rPr>
                    <m:t>核增造价</m:t>
                  </m:r>
                </m:e>
              </m:d>
              <m:r>
                <w:rPr>
                  <w:rFonts w:ascii="Cambria Math" w:hAnsi="宋体" w:cs="宋体"/>
                  <w:color w:val="auto"/>
                  <w:highlight w:val="none"/>
                </w:rPr>
                <m:rPr/>
                <m:t>+</m:t>
              </m:r>
              <m:d>
                <m:dPr>
                  <m:begChr m:val="|"/>
                  <m:endChr m:val="|"/>
                  <m:ctrlPr>
                    <w:rPr>
                      <w:rFonts w:ascii="Cambria Math" w:hAnsi="宋体" w:cs="宋体"/>
                      <w:i/>
                      <w:color w:val="auto"/>
                      <w:highlight w:val="none"/>
                    </w:rPr>
                  </m:ctrlPr>
                </m:dPr>
                <m:e>
                  <m:r>
                    <w:rPr>
                      <w:rFonts w:hint="eastAsia" w:ascii="Cambria Math" w:hAnsi="宋体" w:cs="宋体"/>
                      <w:color w:val="auto"/>
                      <w:highlight w:val="none"/>
                    </w:rPr>
                    <m:rPr>
                      <m:sty m:val="p"/>
                    </m:rPr>
                    <m:t>复审核减造价</m:t>
                  </m:r>
                </m:e>
              </m:d>
            </m:num>
            <m:den>
              <m:r>
                <w:rPr>
                  <w:rFonts w:hint="eastAsia" w:ascii="Cambria Math" w:hAnsi="Cambria Math" w:cs="宋体"/>
                  <w:color w:val="auto"/>
                  <w:highlight w:val="none"/>
                </w:rPr>
                <m:rPr>
                  <m:sty m:val="p"/>
                </m:rPr>
                <m:t>最终复审</m:t>
              </m:r>
              <m:r>
                <w:rPr>
                  <w:rFonts w:hint="eastAsia" w:ascii="Cambria Math" w:hAnsi="宋体" w:cs="宋体"/>
                  <w:color w:val="auto"/>
                  <w:highlight w:val="none"/>
                </w:rPr>
                <m:rPr>
                  <m:sty m:val="p"/>
                </m:rPr>
                <m:t>审定造价</m:t>
              </m:r>
            </m:den>
          </m:f>
          <m:r>
            <w:rPr>
              <w:rFonts w:hint="eastAsia" w:ascii="Cambria Math" w:hAnsi="Cambria Math" w:eastAsiaTheme="minorEastAsia"/>
              <w:color w:val="auto"/>
              <w:highlight w:val="none"/>
            </w:rPr>
            <m:rPr/>
            <m:t>×</m:t>
          </m:r>
          <m:r>
            <w:rPr>
              <w:rFonts w:ascii="Cambria Math" w:hAnsi="Cambria Math" w:eastAsia="Cambria Math"/>
              <w:color w:val="auto"/>
              <w:highlight w:val="none"/>
            </w:rPr>
            <m:rPr/>
            <m:t>100%</m:t>
          </m:r>
        </m:oMath>
      </m:oMathPara>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协审单位应严格落实协审人员、技术负责人、公司负责人三级复核制度, 对协审工作进行严格审核把关。共5分，未实施三级复核工作或者存在明显问题的内容未发现等三级复核流于形式的，扣5分。</w:t>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协审成果应内容真实、全面，如实反映发现的问题，同一委托项目中同一工程子目审核标准一致，问题披露、审增减原因分析全面。共5分，发现1项不足扣1-2分，扣完为止。</w:t>
      </w:r>
      <w:r/>
    </w:p>
    <w:p>
      <w:pPr>
        <w:ind w:firstLine="424"/>
        <w:jc w:val="left"/>
        <w:spacing w:line="480" w:lineRule="atLeast"/>
        <w:shd w:val="clear" w:color="auto" w:fill="ffffff"/>
        <w:widowControl/>
        <w:rPr>
          <w:color w:val="auto"/>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协审报告应符合要求，报告格式规范、内容完整、附件资料齐全、表述清晰、结论准确、评价合理。共5分，发现错误、内容缺失或格式问题等一处扣1分，扣完为止。</w:t>
      </w:r>
      <w:r/>
    </w:p>
    <w:p>
      <w:pPr>
        <w:ind w:firstLine="424"/>
        <w:jc w:val="left"/>
        <w:spacing w:line="480" w:lineRule="atLeast"/>
        <w:shd w:val="clear" w:color="auto" w:fill="ffffff"/>
        <w:widowControl/>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 协审</w:t>
      </w:r>
      <w:bookmarkStart w:id="64" w:name="_Hlk207723317"/>
      <w:r>
        <w:rPr>
          <w:rFonts w:hint="eastAsia" w:ascii="宋体" w:hAnsi="宋体"/>
          <w:color w:val="auto"/>
          <w:szCs w:val="21"/>
          <w:highlight w:val="none"/>
        </w:rPr>
        <w:t xml:space="preserve">工作时效</w:t>
      </w:r>
      <w:bookmarkEnd w:id="64"/>
      <w:r>
        <w:rPr>
          <w:rFonts w:hint="eastAsia" w:ascii="宋体" w:hAnsi="宋体"/>
          <w:color w:val="auto"/>
          <w:szCs w:val="21"/>
          <w:highlight w:val="none"/>
        </w:rPr>
        <w:t xml:space="preserve">考核（10分）</w:t>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协审单位应按规定时间及时完成协审工作并提交协审成果资料及报告。共1</w:t>
      </w:r>
      <w:r>
        <w:rPr>
          <w:rFonts w:ascii="宋体" w:hAnsi="宋体"/>
          <w:color w:val="auto"/>
          <w:szCs w:val="21"/>
          <w:highlight w:val="none"/>
        </w:rPr>
        <w:t xml:space="preserve">0</w:t>
      </w:r>
      <w:r>
        <w:rPr>
          <w:rFonts w:hint="eastAsia" w:ascii="宋体" w:hAnsi="宋体"/>
          <w:color w:val="auto"/>
          <w:szCs w:val="21"/>
          <w:highlight w:val="none"/>
        </w:rPr>
        <w:t xml:space="preserve">分，以下各项每延误1天扣1分，扣完为止。</w:t>
      </w:r>
      <w:r/>
    </w:p>
    <w:p>
      <w:pPr>
        <w:ind w:firstLine="424"/>
        <w:jc w:val="left"/>
        <w:spacing w:line="480" w:lineRule="atLeast"/>
        <w:shd w:val="clear" w:color="auto" w:fill="ffffff"/>
        <w:widowControl/>
        <w:rPr>
          <w:color w:val="auto"/>
          <w:highlight w:val="none"/>
        </w:rPr>
      </w:pPr>
      <w:r>
        <w:rPr>
          <w:rFonts w:hint="eastAsia" w:ascii="宋体" w:hAnsi="宋体"/>
          <w:color w:val="auto"/>
          <w:szCs w:val="21"/>
          <w:highlight w:val="none"/>
        </w:rPr>
        <w:t xml:space="preserve">协审期限指从办理送审资料移交之日起至向评审中心提交协审咨询成果之日止的时间段。</w:t>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①出具初步对账成果时间规定：</w:t>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协审金额400万元（含）以下项目20个日历天（下同）；协审金额400万元～1000万元（含）项目25天；协审金额1000万元～3000万元（含）项目35天；协审金额3000万元～5000万元（含）项目55天；协审金额5000万元～1亿元（含）项目85天；协审金额1亿元以上项目115天。</w:t>
      </w:r>
      <w:r/>
    </w:p>
    <w:p>
      <w:pPr>
        <w:ind w:firstLine="420"/>
        <w:spacing w:line="550" w:lineRule="exact"/>
        <w:rPr>
          <w:color w:val="auto"/>
          <w:highlight w:val="none"/>
        </w:rPr>
      </w:pPr>
      <w:r>
        <w:rPr>
          <w:rFonts w:hAnsi="仿宋_GB2312"/>
          <w:bCs/>
          <w:color w:val="auto"/>
          <w:szCs w:val="32"/>
          <w:highlight w:val="none"/>
        </w:rPr>
        <w:t xml:space="preserve">特大型项目或特殊项目经批准后可延长</w:t>
      </w:r>
      <w:r>
        <w:rPr>
          <w:rFonts w:hint="eastAsia" w:hAnsi="仿宋_GB2312"/>
          <w:bCs/>
          <w:color w:val="auto"/>
          <w:szCs w:val="32"/>
          <w:highlight w:val="none"/>
        </w:rPr>
        <w:t xml:space="preserve">协</w:t>
      </w:r>
      <w:r>
        <w:rPr>
          <w:rFonts w:hAnsi="仿宋_GB2312"/>
          <w:bCs/>
          <w:color w:val="auto"/>
          <w:szCs w:val="32"/>
          <w:highlight w:val="none"/>
        </w:rPr>
        <w:t xml:space="preserve">审时限，延长时间</w:t>
      </w:r>
      <w:r>
        <w:rPr>
          <w:rFonts w:hint="eastAsia" w:hAnsi="仿宋_GB2312"/>
          <w:bCs/>
          <w:color w:val="auto"/>
          <w:szCs w:val="32"/>
          <w:highlight w:val="none"/>
        </w:rPr>
        <w:t xml:space="preserve">原则上</w:t>
      </w:r>
      <w:r>
        <w:rPr>
          <w:rFonts w:hAnsi="仿宋_GB2312"/>
          <w:bCs/>
          <w:color w:val="auto"/>
          <w:szCs w:val="32"/>
          <w:highlight w:val="none"/>
        </w:rPr>
        <w:t xml:space="preserve">不超过</w:t>
      </w:r>
      <w:r>
        <w:rPr>
          <w:bCs/>
          <w:color w:val="auto"/>
          <w:szCs w:val="32"/>
          <w:highlight w:val="none"/>
        </w:rPr>
        <w:t xml:space="preserve">30</w:t>
      </w:r>
      <w:r>
        <w:rPr>
          <w:rFonts w:hint="eastAsia" w:hAnsi="仿宋_GB2312"/>
          <w:bCs/>
          <w:color w:val="auto"/>
          <w:szCs w:val="32"/>
          <w:highlight w:val="none"/>
        </w:rPr>
        <w:t xml:space="preserve">天</w:t>
      </w:r>
      <w:r>
        <w:rPr>
          <w:rFonts w:hAnsi="仿宋_GB2312"/>
          <w:bCs/>
          <w:color w:val="auto"/>
          <w:szCs w:val="32"/>
          <w:highlight w:val="none"/>
        </w:rPr>
        <w:t xml:space="preserve">。</w:t>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②出具结算审核协审报告（初稿）、协审结果确认单时间规定：</w:t>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在初步对账成果对账完成后</w:t>
      </w:r>
      <w:r>
        <w:rPr>
          <w:rFonts w:ascii="宋体" w:hAnsi="宋体"/>
          <w:color w:val="auto"/>
          <w:szCs w:val="21"/>
          <w:highlight w:val="none"/>
        </w:rPr>
        <w:t xml:space="preserve">5</w:t>
      </w:r>
      <w:r>
        <w:rPr>
          <w:rFonts w:hint="eastAsia" w:ascii="宋体" w:hAnsi="宋体"/>
          <w:color w:val="auto"/>
          <w:szCs w:val="21"/>
          <w:highlight w:val="none"/>
        </w:rPr>
        <w:t xml:space="preserve">天内出具结算审核协审报告（初稿）、协审结果确认单；</w:t>
      </w:r>
      <w:r/>
    </w:p>
    <w:p>
      <w:pPr>
        <w:ind w:firstLine="424"/>
        <w:jc w:val="left"/>
        <w:spacing w:line="480" w:lineRule="atLeast"/>
        <w:shd w:val="clear" w:color="auto" w:fill="ffffff"/>
        <w:widowControl/>
        <w:rPr>
          <w:color w:val="auto"/>
          <w:highlight w:val="none"/>
        </w:rPr>
      </w:pPr>
      <w:r>
        <w:rPr>
          <w:rFonts w:hint="eastAsia" w:ascii="宋体" w:hAnsi="宋体"/>
          <w:color w:val="auto"/>
          <w:szCs w:val="21"/>
          <w:highlight w:val="none"/>
        </w:rPr>
        <w:t xml:space="preserve">③完成协审出具正式协审报告时间规定：</w:t>
      </w:r>
      <w:r/>
    </w:p>
    <w:p>
      <w:pPr>
        <w:ind w:firstLine="424"/>
        <w:jc w:val="left"/>
        <w:spacing w:line="480" w:lineRule="atLeast"/>
        <w:shd w:val="clear" w:color="auto" w:fill="ffffff"/>
        <w:widowControl/>
        <w:rPr>
          <w:rFonts w:ascii="宋体" w:hAnsi="宋体"/>
          <w:color w:val="auto"/>
          <w:szCs w:val="21"/>
          <w:highlight w:val="none"/>
        </w:rPr>
      </w:pPr>
      <w:r/>
      <w:bookmarkStart w:id="65" w:name="OLE_LINK12"/>
      <w:r>
        <w:rPr>
          <w:rFonts w:hint="eastAsia" w:ascii="宋体" w:hAnsi="宋体"/>
          <w:color w:val="auto"/>
          <w:szCs w:val="21"/>
          <w:highlight w:val="none"/>
        </w:rPr>
        <w:t xml:space="preserve">协审金额400万元（含）以下项目30个日历天（下同）；协审金额400万元～1000万元（含）项目35天；协审金额1000万元～3000万元（含）项目45天；协审金额3000万元～5000万元（含）项目65天；协审金额5000万元～1亿元（含）项目95天；协审金额1亿元以上项目125天。</w:t>
      </w:r>
      <w:r>
        <w:rPr>
          <w:rFonts w:ascii="宋体" w:hAnsi="宋体"/>
          <w:color w:val="auto"/>
          <w:szCs w:val="21"/>
          <w:highlight w:val="none"/>
        </w:rPr>
        <w:t xml:space="preserve">特大型项目或特殊项目经批准后可延长</w:t>
      </w:r>
      <w:r>
        <w:rPr>
          <w:rFonts w:hint="eastAsia" w:ascii="宋体" w:hAnsi="宋体"/>
          <w:color w:val="auto"/>
          <w:szCs w:val="21"/>
          <w:highlight w:val="none"/>
        </w:rPr>
        <w:t xml:space="preserve">协</w:t>
      </w:r>
      <w:r>
        <w:rPr>
          <w:rFonts w:ascii="宋体" w:hAnsi="宋体"/>
          <w:color w:val="auto"/>
          <w:szCs w:val="21"/>
          <w:highlight w:val="none"/>
        </w:rPr>
        <w:t xml:space="preserve">审时限，延长时间</w:t>
      </w:r>
      <w:r>
        <w:rPr>
          <w:rFonts w:hint="eastAsia" w:ascii="宋体" w:hAnsi="宋体"/>
          <w:color w:val="auto"/>
          <w:szCs w:val="21"/>
          <w:highlight w:val="none"/>
        </w:rPr>
        <w:t xml:space="preserve">原则上</w:t>
      </w:r>
      <w:r>
        <w:rPr>
          <w:rFonts w:ascii="宋体" w:hAnsi="宋体"/>
          <w:color w:val="auto"/>
          <w:szCs w:val="21"/>
          <w:highlight w:val="none"/>
        </w:rPr>
        <w:t xml:space="preserve">不超过30天。</w:t>
      </w:r>
      <w:bookmarkEnd w:id="65"/>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④根据评审中心意见完成各类初稿的调整并出具报告时间规定：</w:t>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在</w:t>
      </w:r>
      <w:r>
        <w:rPr>
          <w:rFonts w:ascii="宋体" w:hAnsi="宋体"/>
          <w:color w:val="auto"/>
          <w:szCs w:val="21"/>
          <w:highlight w:val="none"/>
        </w:rPr>
        <w:t xml:space="preserve">5</w:t>
      </w:r>
      <w:r>
        <w:rPr>
          <w:rFonts w:hint="eastAsia" w:ascii="宋体" w:hAnsi="宋体"/>
          <w:color w:val="auto"/>
          <w:szCs w:val="21"/>
          <w:highlight w:val="none"/>
        </w:rPr>
        <w:t xml:space="preserve">天内根据评审中心意见完成各类初稿的调整并出具报告。</w:t>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⑤将协审报告和已领取的项目协审资料返还给评审中心时间规定：</w:t>
      </w:r>
      <w:r/>
    </w:p>
    <w:p>
      <w:pPr>
        <w:ind w:firstLine="424"/>
        <w:jc w:val="left"/>
        <w:spacing w:line="480" w:lineRule="atLeast"/>
        <w:shd w:val="clear" w:color="auto" w:fill="ffffff"/>
        <w:widowControl/>
        <w:rPr>
          <w:color w:val="auto"/>
          <w:highlight w:val="none"/>
        </w:rPr>
      </w:pPr>
      <w:r>
        <w:rPr>
          <w:rFonts w:hint="eastAsia" w:ascii="宋体" w:hAnsi="宋体"/>
          <w:color w:val="auto"/>
          <w:szCs w:val="21"/>
          <w:highlight w:val="none"/>
        </w:rPr>
        <w:t xml:space="preserve">在评审中心确认后</w:t>
      </w:r>
      <w:r>
        <w:rPr>
          <w:rFonts w:ascii="宋体" w:hAnsi="宋体"/>
          <w:color w:val="auto"/>
          <w:szCs w:val="21"/>
          <w:highlight w:val="none"/>
        </w:rPr>
        <w:t xml:space="preserve">5</w:t>
      </w:r>
      <w:r>
        <w:rPr>
          <w:rFonts w:hint="eastAsia" w:ascii="宋体" w:hAnsi="宋体"/>
          <w:color w:val="auto"/>
          <w:szCs w:val="21"/>
          <w:highlight w:val="none"/>
        </w:rPr>
        <w:t xml:space="preserve">天内将协审报告和已领取的项目协审资料返还给评审中心。</w:t>
      </w:r>
      <w:r/>
    </w:p>
    <w:p>
      <w:pPr>
        <w:ind w:firstLine="424"/>
        <w:jc w:val="left"/>
        <w:spacing w:line="480" w:lineRule="atLeast"/>
        <w:shd w:val="clear" w:color="auto" w:fill="ffffff"/>
        <w:widowControl/>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.协审</w:t>
      </w:r>
      <w:bookmarkStart w:id="66" w:name="_Hlk207723332"/>
      <w:r>
        <w:rPr>
          <w:rFonts w:hint="eastAsia" w:ascii="宋体" w:hAnsi="宋体"/>
          <w:color w:val="auto"/>
          <w:szCs w:val="21"/>
          <w:highlight w:val="none"/>
        </w:rPr>
        <w:t xml:space="preserve">工作纪律</w:t>
      </w:r>
      <w:bookmarkEnd w:id="66"/>
      <w:r>
        <w:rPr>
          <w:rFonts w:hint="eastAsia" w:ascii="宋体" w:hAnsi="宋体"/>
          <w:color w:val="auto"/>
          <w:szCs w:val="21"/>
          <w:highlight w:val="none"/>
        </w:rPr>
        <w:t xml:space="preserve">考核（扣分项）</w:t>
      </w:r>
      <w:r/>
    </w:p>
    <w:p>
      <w:pPr>
        <w:ind w:firstLine="424"/>
        <w:jc w:val="left"/>
        <w:spacing w:line="405"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协审单位协审人员应遵守国家法律、法规和执业规范，遵守廉洁工作纪律，保守评审秘密和项目建设单位的商业秘密，严格按照评审中心的委托要求开展协审工作，服从评审中心中心的指导、监督和考核。存在以下情况的之一的，该项目一票否决，扣100分。</w:t>
      </w:r>
      <w:r/>
    </w:p>
    <w:p>
      <w:pPr>
        <w:ind w:firstLine="420"/>
        <w:jc w:val="left"/>
        <w:spacing w:line="405" w:lineRule="atLeast"/>
        <w:shd w:val="clear" w:color="auto" w:fill="ffffff"/>
        <w:widowControl/>
        <w:rPr>
          <w:rFonts w:ascii="宋体" w:hAnsi="宋体"/>
          <w:color w:val="auto"/>
          <w:szCs w:val="21"/>
          <w:highlight w:val="none"/>
        </w:rPr>
      </w:pPr>
      <w:r/>
      <w:bookmarkStart w:id="67" w:name="OLE_LINK9"/>
      <w:r>
        <w:rPr>
          <w:rFonts w:hint="eastAsia" w:ascii="宋体" w:hAnsi="宋体"/>
          <w:color w:val="auto"/>
          <w:szCs w:val="21"/>
          <w:highlight w:val="none"/>
        </w:rPr>
        <w:t xml:space="preserve">(</w:t>
      </w:r>
      <w:r>
        <w:rPr>
          <w:rFonts w:ascii="宋体" w:hAnsi="宋体"/>
          <w:color w:val="auto"/>
          <w:szCs w:val="21"/>
          <w:highlight w:val="none"/>
        </w:rPr>
        <w:t xml:space="preserve">1)</w:t>
      </w:r>
      <w:bookmarkEnd w:id="67"/>
      <w:r>
        <w:rPr>
          <w:rFonts w:hint="eastAsia" w:ascii="宋体" w:hAnsi="宋体"/>
          <w:color w:val="auto"/>
          <w:szCs w:val="21"/>
          <w:highlight w:val="none"/>
        </w:rPr>
        <w:t xml:space="preserve">未执行回避制度，与被审项目的相关单位和个人有利害关系而未主动回避的；</w:t>
      </w:r>
      <w:r/>
    </w:p>
    <w:p>
      <w:pPr>
        <w:ind w:firstLine="420"/>
        <w:jc w:val="left"/>
        <w:spacing w:line="405"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隐瞒协审过程中发现的问题或者与相关单位串通舞弊，导致协审结果严重失实的；</w:t>
      </w:r>
      <w:r/>
    </w:p>
    <w:p>
      <w:pPr>
        <w:ind w:firstLine="420"/>
        <w:jc w:val="left"/>
        <w:spacing w:line="405" w:lineRule="atLeast"/>
        <w:shd w:val="clear" w:color="auto" w:fill="ffffff"/>
        <w:widowControl/>
        <w:rPr>
          <w:rFonts w:ascii="宋体" w:hAnsi="宋体"/>
          <w:color w:val="auto"/>
          <w:szCs w:val="21"/>
          <w:highlight w:val="none"/>
        </w:rPr>
      </w:pPr>
      <w:r/>
      <w:bookmarkStart w:id="68" w:name="OLE_LINK2"/>
      <w:r>
        <w:rPr>
          <w:rFonts w:hint="eastAsia" w:ascii="宋体" w:hAnsi="宋体"/>
          <w:color w:val="auto"/>
          <w:szCs w:val="21"/>
          <w:highlight w:val="none"/>
        </w:rPr>
        <w:t xml:space="preserve">(</w:t>
      </w:r>
      <w:r>
        <w:rPr>
          <w:rFonts w:ascii="宋体" w:hAnsi="宋体"/>
          <w:color w:val="auto"/>
          <w:szCs w:val="21"/>
          <w:highlight w:val="none"/>
        </w:rPr>
        <w:t xml:space="preserve">3)</w:t>
      </w:r>
      <w:bookmarkEnd w:id="68"/>
      <w:r>
        <w:rPr>
          <w:rFonts w:hint="eastAsia" w:ascii="宋体" w:hAnsi="宋体"/>
          <w:color w:val="auto"/>
          <w:szCs w:val="21"/>
          <w:highlight w:val="none"/>
        </w:rPr>
        <w:t xml:space="preserve">帮助或协同项目单位篡改、编造项目结算资料、证据等的；</w:t>
      </w:r>
      <w:r/>
    </w:p>
    <w:p>
      <w:pPr>
        <w:ind w:firstLine="420"/>
        <w:jc w:val="left"/>
        <w:spacing w:line="405"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在服务过程中存在违法违纪、廉政问题或违反保密纪律的；</w:t>
      </w:r>
      <w:r/>
    </w:p>
    <w:p>
      <w:pPr>
        <w:ind w:firstLine="420"/>
        <w:jc w:val="left"/>
        <w:spacing w:line="405"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color w:val="auto"/>
          <w:highlight w:val="none"/>
        </w:rPr>
        <w:t xml:space="preserve"> </w:t>
      </w:r>
      <w:r>
        <w:rPr>
          <w:rFonts w:hint="eastAsia" w:ascii="宋体" w:hAnsi="宋体"/>
          <w:color w:val="auto"/>
          <w:szCs w:val="21"/>
          <w:highlight w:val="none"/>
        </w:rPr>
        <w:t xml:space="preserve">无正当理由拒绝接受评审中心的工作安排、监督和考核的。</w:t>
      </w:r>
      <w:r/>
    </w:p>
    <w:p>
      <w:pPr>
        <w:ind w:firstLine="424"/>
        <w:jc w:val="left"/>
        <w:spacing w:line="405"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协审工作加分奖励（加</w:t>
      </w:r>
      <w:r>
        <w:rPr>
          <w:rFonts w:ascii="宋体" w:hAnsi="宋体"/>
          <w:color w:val="auto"/>
          <w:szCs w:val="21"/>
          <w:highlight w:val="none"/>
        </w:rPr>
        <w:t xml:space="preserve">5</w:t>
      </w:r>
      <w:r>
        <w:rPr>
          <w:rFonts w:hint="eastAsia" w:ascii="宋体" w:hAnsi="宋体"/>
          <w:color w:val="auto"/>
          <w:szCs w:val="21"/>
          <w:highlight w:val="none"/>
        </w:rPr>
        <w:t xml:space="preserve">分/项,最多加1</w:t>
      </w:r>
      <w:r>
        <w:rPr>
          <w:rFonts w:ascii="宋体" w:hAnsi="宋体"/>
          <w:color w:val="auto"/>
          <w:szCs w:val="21"/>
          <w:highlight w:val="none"/>
        </w:rPr>
        <w:t xml:space="preserve">0</w:t>
      </w:r>
      <w:r>
        <w:rPr>
          <w:rFonts w:hint="eastAsia" w:ascii="宋体" w:hAnsi="宋体"/>
          <w:color w:val="auto"/>
          <w:szCs w:val="21"/>
          <w:highlight w:val="none"/>
        </w:rPr>
        <w:t xml:space="preserve">分）</w:t>
      </w:r>
      <w:r/>
    </w:p>
    <w:p>
      <w:pPr>
        <w:ind w:firstLine="424"/>
        <w:jc w:val="left"/>
        <w:spacing w:line="405"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协审过程中发现重大问题、提出合理化建议等并被采纳的；</w:t>
      </w:r>
      <w:r/>
    </w:p>
    <w:p>
      <w:pPr>
        <w:ind w:firstLine="424"/>
        <w:jc w:val="left"/>
        <w:spacing w:line="405"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协审过程中形成有价值的、被财政等政府部门采用信息的。</w:t>
      </w:r>
      <w:bookmarkEnd w:id="62"/>
      <w:r/>
      <w:r/>
    </w:p>
    <w:p>
      <w:pPr>
        <w:ind w:firstLine="424"/>
        <w:jc w:val="left"/>
        <w:spacing w:line="480"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第九条 考核结果运用。</w:t>
      </w:r>
      <w:bookmarkEnd w:id="50"/>
      <w:r/>
      <w:bookmarkEnd w:id="51"/>
      <w:r/>
      <w:r/>
    </w:p>
    <w:p>
      <w:pPr>
        <w:ind w:firstLine="424"/>
        <w:jc w:val="left"/>
        <w:spacing w:line="405" w:lineRule="atLeast"/>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考核结果与委托的</w:t>
      </w:r>
      <w:r>
        <w:rPr>
          <w:rFonts w:hint="eastAsia" w:ascii="宋体" w:hAnsi="宋体"/>
          <w:color w:val="auto"/>
          <w:szCs w:val="21"/>
          <w:highlight w:val="none"/>
        </w:rPr>
        <w:t xml:space="preserve">项目协审费用结算关联。考核得分≥90分，按委托合同约定的标准全额结算；85分≤考核得分＜90分，按委托合同约定标准的90%结算；80分≤考核得分＜85分，按委托合同约定标准的80%结算；70分≤考核得分＜80分，按委托合同约定标准的70%结算，60分≤考核得分＜70分，按委托合同约定标准的60%结算。考核得分＜60分，为考核不合格，视协审单位造成后果的严重程度，按委托合同约定标准的0～50%结算，并对协审单位予以警告或扣除该协审项目所有协审费用、上报造价行业主管部门、解除中标标段后续项目协审服务合同等措施。</w:t>
      </w:r>
      <w:bookmarkEnd w:id="52"/>
      <w:r/>
      <w:r/>
    </w:p>
    <w:p>
      <w:pPr>
        <w:ind w:firstLine="424"/>
        <w:jc w:val="left"/>
        <w:spacing w:line="405" w:lineRule="atLeast"/>
        <w:shd w:val="clear" w:color="auto" w:fill="ffffff"/>
        <w:widowControl/>
        <w:rPr>
          <w:color w:val="auto"/>
          <w:highlight w:val="none"/>
        </w:rPr>
      </w:pPr>
      <w:r>
        <w:rPr>
          <w:rFonts w:hint="eastAsia" w:ascii="宋体" w:hAnsi="宋体"/>
          <w:color w:val="auto"/>
          <w:szCs w:val="21"/>
          <w:highlight w:val="none"/>
        </w:rPr>
        <w:t xml:space="preserve">（备注：若考核办法后续有调整，以实际调整为准。）</w:t>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jc w:val="left"/>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附表1：考核表</w:t>
      </w:r>
      <w:r/>
    </w:p>
    <w:p>
      <w:pPr>
        <w:pStyle w:val="736"/>
        <w:ind w:left="0"/>
        <w:jc w:val="center"/>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 xml:space="preserve">姑苏区财政投资项目工程竣工结算协审工作考核表</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5" w:type="dxa"/>
          <w:right w:w="108" w:type="dxa"/>
          <w:bottom w:w="0" w:type="dxa"/>
        </w:tblCellMar>
        <w:tblLook w:val="04A0" w:firstRow="1" w:lastRow="0" w:firstColumn="1" w:lastColumn="0" w:noHBand="0" w:noVBand="1"/>
      </w:tblPr>
      <w:tblGrid>
        <w:gridCol w:w="1407"/>
        <w:gridCol w:w="5332"/>
        <w:gridCol w:w="1115"/>
        <w:gridCol w:w="668"/>
      </w:tblGrid>
      <w:tr>
        <w:trPr>
          <w:trHeight w:val="645"/>
        </w:trPr>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考核项目</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考核内容</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分值标准</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得分</w:t>
            </w:r>
            <w:r/>
          </w:p>
        </w:tc>
      </w:tr>
      <w:tr>
        <w:trPr>
          <w:trHeight w:val="540"/>
        </w:trPr>
        <w:tc>
          <w:tcPr>
            <w:shd w:val="clear" w:color="auto" w:fill="auto"/>
            <w:tcW w:w="0" w:type="auto"/>
            <w:vAlign w:val="center"/>
            <w:vMerge w:val="restart"/>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协审服务</w:t>
            </w:r>
            <w:r>
              <w:rPr>
                <w:rFonts w:hint="eastAsia" w:ascii="宋体" w:hAnsi="宋体" w:cs="宋体"/>
                <w:color w:val="auto"/>
                <w:sz w:val="22"/>
                <w:highlight w:val="none"/>
              </w:rPr>
              <w:br/>
            </w:r>
            <w:r>
              <w:rPr>
                <w:rFonts w:hint="eastAsia" w:ascii="宋体" w:hAnsi="宋体" w:cs="宋体"/>
                <w:color w:val="auto"/>
                <w:sz w:val="22"/>
                <w:highlight w:val="none"/>
              </w:rPr>
              <w:t xml:space="preserve">质量考核</w:t>
            </w:r>
            <w:r>
              <w:rPr>
                <w:rFonts w:hint="eastAsia" w:ascii="宋体" w:hAnsi="宋体" w:cs="宋体"/>
                <w:color w:val="auto"/>
                <w:sz w:val="22"/>
                <w:highlight w:val="none"/>
              </w:rPr>
              <w:br/>
            </w:r>
            <w:r>
              <w:rPr>
                <w:rFonts w:hint="eastAsia" w:ascii="宋体" w:hAnsi="宋体" w:cs="宋体"/>
                <w:color w:val="auto"/>
                <w:sz w:val="22"/>
                <w:highlight w:val="none"/>
              </w:rPr>
              <w:t xml:space="preserve">（55分）</w:t>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及时响应委托通知、领取项目资料、提交协审实施工作方案（各按1个工作日为限，超时一项扣2分,扣完为止）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6</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4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认真检查交接资料，应在5天内发现交接资料的缺漏项问题，及时反馈评审中心，并配合评审中心及时联系收集缺漏项资料（若工作不到位，视影响程度扣1-3分，扣完为止）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4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项目实际协审人员应具有相应执业资格并与投标文件承诺计划投入人员一致（每不符一名扣1分，扣完为止）；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5</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4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未经评审中心许可擅自安排踏勘现场、进行对账、接受或传送结算相关资料（扣1-3分/项，扣完为止）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36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未对项目进行现场踏勘并填写现场踏勘记录表(扣3分)</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5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现场取证部位、时间、人员、取证图片等要素不符合要求的（不符一处扣1分/项，扣完为止）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375"/>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未详细填写结算对帐记录或对账记录虚假的（未有记录或记录内容虚假扣3分）</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375"/>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未及时就项目单位提出的反馈意见进行重新核实或做出说明的（未及时响应的扣3分）</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4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未按要求出具协审结算确认单和工程结算审定单（未出具扣5分，出具格式、内容等不满足要求扣1-3分/项，扣完为止。）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5</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615"/>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因特殊原因未能按进度完成协审工作，应当及时以书面形式向评审中心提出延期申请（扣3分）</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108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服务态度好，工作积极，能主动与评审中心、项目建设单位、施工单位等有关各方进行沟通交流，做好相关政策规定的解释，处理争议事项，认真负责地完成协审工作，得10分。（若服务态度一般扣3分，差扣5分；工作积极程度一般扣3分，差扣5分；因沟通协调处理不当与项目单位发生争议未及时主动报告或未及时协调处理解决的，发现一次扣5分，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81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项目协审资料做到资料真实完整有序，纸质资料装订符合要求，并及时提交评审中心；电子版协审资料真实完整，分类清晰，文件格式符合要求，无病毒，及时传送评审中心。（扣1-5分/项，扣完为止）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5</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4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及时完整的返还领取的项目资料，因管理不善导致项目资料遗失的（根据造成不良后果的程度，扣1-3分，扣完为止）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1080"/>
        </w:trPr>
        <w:tc>
          <w:tcPr>
            <w:shd w:val="clear" w:color="auto" w:fill="auto"/>
            <w:tcW w:w="0" w:type="auto"/>
            <w:vAlign w:val="center"/>
            <w:vMerge w:val="restart"/>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协审工作</w:t>
            </w:r>
            <w:r>
              <w:rPr>
                <w:rFonts w:hint="eastAsia" w:ascii="宋体" w:hAnsi="宋体" w:cs="宋体"/>
                <w:color w:val="auto"/>
                <w:sz w:val="22"/>
                <w:highlight w:val="none"/>
              </w:rPr>
              <w:br/>
            </w:r>
            <w:r>
              <w:rPr>
                <w:rFonts w:hint="eastAsia" w:ascii="宋体" w:hAnsi="宋体" w:cs="宋体"/>
                <w:color w:val="auto"/>
                <w:sz w:val="22"/>
                <w:highlight w:val="none"/>
              </w:rPr>
              <w:t xml:space="preserve">质量考核</w:t>
            </w:r>
            <w:r>
              <w:rPr>
                <w:rFonts w:hint="eastAsia" w:ascii="宋体" w:hAnsi="宋体" w:cs="宋体"/>
                <w:color w:val="auto"/>
                <w:sz w:val="22"/>
                <w:highlight w:val="none"/>
              </w:rPr>
              <w:br/>
            </w:r>
            <w:r>
              <w:rPr>
                <w:rFonts w:hint="eastAsia" w:ascii="宋体" w:hAnsi="宋体" w:cs="宋体"/>
                <w:color w:val="auto"/>
                <w:sz w:val="22"/>
                <w:highlight w:val="none"/>
              </w:rPr>
              <w:t xml:space="preserve">（35分）</w:t>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协审过程中，包括但不限于工程量核定有计算底稿、具备完整的计算过程，计算规范、准确，与图纸及变更签证单相符；施工合同或招标文件条款适用准确，变更签证内容计算依据充分合理；取费费率及有价部分综合单价计取正确，无价部分定额子目套用及换算准确、规范，下浮率计算无误，工程量清单价、材料价格等调差正确（每发现错漏一项扣1分，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108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除送审资料缺陷等非协审单位的原因外，因协审单位审核人员的主观原因而造成的差错，如错套定额、点错小数点、重项、漏项、工程量计算错误、高估冒算、因未到现场核实导致造价失实等工作失误引起的造价金额或数据发生较大差错的，每发现一处差错率在2%～3%（含）的，扣5分，差错率3%～5%（含）的，扣8分，在5%以上的，扣10分，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81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协审单位是否对协审结果执行三级复核制度（未实施三级复核工作或者存在明显问题的内容未发现等三级复核流于形式的，扣5分）</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5</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735"/>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协审成果应内容真实、全面，如实反映发现的问题，同一委托项目中同一工程子目审核标准一致，问题披露、审增减原因分析全面（发现1项不足扣1-2分，扣完为止）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5</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960"/>
        </w:trPr>
        <w:tc>
          <w:tcPr>
            <w:tcW w:w="0" w:type="auto"/>
            <w:vAlign w:val="center"/>
            <w:vMerge w:val="continue"/>
            <w:textDirection w:val="lrTb"/>
            <w:noWrap w:val="false"/>
          </w:tcPr>
          <w:p>
            <w:pPr>
              <w:jc w:val="left"/>
              <w:widowControl/>
              <w:rPr>
                <w:rFonts w:ascii="宋体" w:hAnsi="宋体" w:cs="宋体"/>
                <w:color w:val="auto"/>
                <w:sz w:val="22"/>
                <w:highlight w:val="none"/>
              </w:rPr>
            </w:pPr>
            <w:r>
              <w:rPr>
                <w:rFonts w:ascii="宋体" w:hAnsi="宋体" w:cs="宋体"/>
                <w:color w:val="auto"/>
                <w:sz w:val="22"/>
                <w:highlight w:val="none"/>
              </w:rPr>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协审报告应符合要求，报告格式规范、内容完整、附件资料齐全、表述清晰、结论准确、评价合理（发现错误、内容缺失或格式问题等一处扣1分，扣完为止）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5</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1393"/>
        </w:trPr>
        <w:tc>
          <w:tcPr>
            <w:shd w:val="clear" w:color="auto" w:fill="auto"/>
            <w:tcW w:w="0" w:type="auto"/>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协审工作</w:t>
            </w:r>
            <w:r>
              <w:rPr>
                <w:rFonts w:hint="eastAsia" w:ascii="宋体" w:hAnsi="宋体" w:cs="宋体"/>
                <w:color w:val="auto"/>
                <w:sz w:val="22"/>
                <w:highlight w:val="none"/>
              </w:rPr>
              <w:br/>
            </w:r>
            <w:r>
              <w:rPr>
                <w:rFonts w:hint="eastAsia" w:ascii="宋体" w:hAnsi="宋体" w:cs="宋体"/>
                <w:color w:val="auto"/>
                <w:sz w:val="22"/>
                <w:highlight w:val="none"/>
              </w:rPr>
              <w:t xml:space="preserve">时效考核</w:t>
            </w:r>
            <w:r>
              <w:rPr>
                <w:rFonts w:hint="eastAsia" w:ascii="宋体" w:hAnsi="宋体" w:cs="宋体"/>
                <w:color w:val="auto"/>
                <w:sz w:val="22"/>
                <w:highlight w:val="none"/>
              </w:rPr>
              <w:br/>
            </w:r>
            <w:r>
              <w:rPr>
                <w:rFonts w:hint="eastAsia" w:ascii="宋体" w:hAnsi="宋体" w:cs="宋体"/>
                <w:color w:val="auto"/>
                <w:sz w:val="22"/>
                <w:highlight w:val="none"/>
              </w:rPr>
              <w:t xml:space="preserve">（10分）</w:t>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协审单位是否按规定时间提交或完成协审工作内容：</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1.未按要求在规定时间内出具初步对账成果：</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协审金额400万元（含）以下项目20个日历天（下同）；协审金额400万元～1000万元（含）项目25天；协审金额1000万元～3000万元（含）项目35天；协审金额3000万元～5000万元（含）项目55天；协审金额5000万元～1亿元（含）项目85天；协审金额1亿元以上项目115天；特大型项目或特殊项目经批准后可延长协审时限，延长时间原则上不超过30天；</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2.未在初步对账成果对账完成后5天内出具结算审核协审报告（初稿）、协审结果确认单；</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3.无特殊情况，未在规定时间内完成协审出具正式协审报告：</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协审金额400万元（含）以下项目30个日历天（下同）；协审金额400万元～1000万元（含）项目35天；协审金额1000万元～3000万元（含）项目45天；协审金额3000万元～5000万元（含）项目65天；协审金额5000万元～1亿元（含）项目95天；协审金额1亿元以上项目125天；特大型项目或特殊项目经批准后可延长协审时限，延长时间原则上不超过30天；</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4.未在5个工作日内根据评审中心意见完成各类初稿的调整并出具报告；</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5.未在评审中心确认后5个工作日内将协审报告和已领取的项目协审资料返还给评审中心。（以上每延误1天扣1分，扣完为止）</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10</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4050"/>
        </w:trPr>
        <w:tc>
          <w:tcPr>
            <w:shd w:val="clear" w:color="auto" w:fill="auto"/>
            <w:tcW w:w="0" w:type="auto"/>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协审工作</w:t>
            </w:r>
            <w:r>
              <w:rPr>
                <w:rFonts w:hint="eastAsia" w:ascii="宋体" w:hAnsi="宋体" w:cs="宋体"/>
                <w:color w:val="auto"/>
                <w:sz w:val="22"/>
                <w:highlight w:val="none"/>
              </w:rPr>
              <w:br/>
            </w:r>
            <w:r>
              <w:rPr>
                <w:rFonts w:hint="eastAsia" w:ascii="宋体" w:hAnsi="宋体" w:cs="宋体"/>
                <w:color w:val="auto"/>
                <w:sz w:val="22"/>
                <w:highlight w:val="none"/>
              </w:rPr>
              <w:t xml:space="preserve">纪律考核</w:t>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存在以下情况的之一的，该项目一票否决，扣100分：</w:t>
            </w:r>
            <w:r>
              <w:rPr>
                <w:rFonts w:hint="eastAsia" w:ascii="宋体" w:hAnsi="宋体" w:cs="宋体"/>
                <w:color w:val="auto"/>
                <w:sz w:val="22"/>
                <w:highlight w:val="none"/>
              </w:rPr>
              <w:br/>
            </w:r>
            <w:r>
              <w:rPr>
                <w:rFonts w:hint="eastAsia" w:ascii="宋体" w:hAnsi="宋体" w:cs="宋体"/>
                <w:color w:val="auto"/>
                <w:sz w:val="22"/>
                <w:highlight w:val="none"/>
              </w:rPr>
              <w:t xml:space="preserve">1.未执行回避制度，与被审项目的相关单位和个人有利害关系而未主动回避的；</w:t>
            </w:r>
            <w:r>
              <w:rPr>
                <w:rFonts w:hint="eastAsia" w:ascii="宋体" w:hAnsi="宋体" w:cs="宋体"/>
                <w:color w:val="auto"/>
                <w:sz w:val="22"/>
                <w:highlight w:val="none"/>
              </w:rPr>
              <w:br/>
            </w:r>
            <w:r>
              <w:rPr>
                <w:rFonts w:hint="eastAsia" w:ascii="宋体" w:hAnsi="宋体" w:cs="宋体"/>
                <w:color w:val="auto"/>
                <w:sz w:val="22"/>
                <w:highlight w:val="none"/>
              </w:rPr>
              <w:t xml:space="preserve">2.隐瞒协审过程中发现的问题或者与相关单位串通舞弊，导致协审结果严重失实的；</w:t>
            </w:r>
            <w:r>
              <w:rPr>
                <w:rFonts w:hint="eastAsia" w:ascii="宋体" w:hAnsi="宋体" w:cs="宋体"/>
                <w:color w:val="auto"/>
                <w:sz w:val="22"/>
                <w:highlight w:val="none"/>
              </w:rPr>
              <w:br/>
            </w:r>
            <w:r>
              <w:rPr>
                <w:rFonts w:hint="eastAsia" w:ascii="宋体" w:hAnsi="宋体" w:cs="宋体"/>
                <w:color w:val="auto"/>
                <w:sz w:val="22"/>
                <w:highlight w:val="none"/>
              </w:rPr>
              <w:t xml:space="preserve">3.帮助或协同项目单位篡改、编造项目结算资料、证据等的；</w:t>
            </w:r>
            <w:r>
              <w:rPr>
                <w:rFonts w:hint="eastAsia" w:ascii="宋体" w:hAnsi="宋体" w:cs="宋体"/>
                <w:color w:val="auto"/>
                <w:sz w:val="22"/>
                <w:highlight w:val="none"/>
              </w:rPr>
              <w:br/>
            </w:r>
            <w:r>
              <w:rPr>
                <w:rFonts w:hint="eastAsia" w:ascii="宋体" w:hAnsi="宋体" w:cs="宋体"/>
                <w:color w:val="auto"/>
                <w:sz w:val="22"/>
                <w:highlight w:val="none"/>
              </w:rPr>
              <w:t xml:space="preserve">4.在服务过程中存在违法违纪、廉政问题或违反保密纪律的；</w:t>
            </w:r>
            <w:r>
              <w:rPr>
                <w:rFonts w:hint="eastAsia" w:ascii="宋体" w:hAnsi="宋体" w:cs="宋体"/>
                <w:color w:val="auto"/>
                <w:sz w:val="22"/>
                <w:highlight w:val="none"/>
              </w:rPr>
              <w:br/>
            </w:r>
            <w:r>
              <w:rPr>
                <w:rFonts w:hint="eastAsia" w:ascii="宋体" w:hAnsi="宋体" w:cs="宋体"/>
                <w:color w:val="auto"/>
                <w:sz w:val="22"/>
                <w:highlight w:val="none"/>
              </w:rPr>
              <w:t xml:space="preserve">5.无正当理由拒绝接受评审中心的工作安排、监督和考核的。</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扣分项</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1874"/>
        </w:trPr>
        <w:tc>
          <w:tcPr>
            <w:shd w:val="clear" w:color="auto" w:fill="auto"/>
            <w:tcW w:w="0" w:type="auto"/>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协审工作加分奖励</w:t>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1.协审过程中发现重大问题、提出合理化建议等并被采纳的；</w:t>
            </w:r>
            <w:r>
              <w:rPr>
                <w:rFonts w:hint="eastAsia" w:ascii="宋体" w:hAnsi="宋体" w:cs="宋体"/>
                <w:color w:val="auto"/>
                <w:sz w:val="22"/>
                <w:highlight w:val="none"/>
              </w:rPr>
              <w:br/>
            </w:r>
            <w:r>
              <w:rPr>
                <w:rFonts w:hint="eastAsia" w:ascii="宋体" w:hAnsi="宋体" w:cs="宋体"/>
                <w:color w:val="auto"/>
                <w:sz w:val="22"/>
                <w:highlight w:val="none"/>
              </w:rPr>
              <w:t xml:space="preserve">2.协审过程中形成有价值的、被财政等政府部门采用信息的。(以上加5分/项，最多加10分）</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加分项</w:t>
            </w:r>
            <w:r/>
          </w:p>
        </w:tc>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3468"/>
        </w:trPr>
        <w:tc>
          <w:tcPr>
            <w:shd w:val="clear" w:color="auto" w:fill="auto"/>
            <w:tcW w:w="0" w:type="auto"/>
            <w:vAlign w:val="center"/>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合计100分</w:t>
            </w:r>
            <w:r/>
          </w:p>
        </w:tc>
        <w:tc>
          <w:tcPr>
            <w:shd w:val="clear" w:color="auto" w:fill="auto"/>
            <w:tcW w:w="0" w:type="auto"/>
            <w:vAlign w:val="center"/>
            <w:textDirection w:val="lrTb"/>
            <w:noWrap w:val="false"/>
          </w:tcPr>
          <w:p>
            <w:pPr>
              <w:jc w:val="left"/>
              <w:widowControl/>
              <w:rPr>
                <w:rFonts w:ascii="宋体" w:hAnsi="宋体" w:cs="宋体"/>
                <w:color w:val="auto"/>
                <w:sz w:val="22"/>
                <w:highlight w:val="none"/>
              </w:rPr>
            </w:pPr>
            <w:r>
              <w:rPr>
                <w:rFonts w:hint="eastAsia" w:ascii="宋体" w:hAnsi="宋体" w:cs="宋体"/>
                <w:color w:val="auto"/>
                <w:sz w:val="22"/>
                <w:highlight w:val="none"/>
              </w:rPr>
              <w:t xml:space="preserve">考核结果运用（考核得分≥90分，按委托合同约定的标准全额结算；85分≤考核得分＜90分，按委托合同约定标准的90%结算；80分≤考核得分＜85分，按委托合同约定标准的80%结算；70分≤考核得分＜80分，按委托合同约定标准的70%结算，60分≤考核得分＜70分，按委托合同约定标准的60%结算。考核得分＜60分，为考核不合格，视协审单位造成后果的严重程度，按委托合同约定标准的0～50%结算，并对协审单位予以警告或扣除该协审项目所有协审费用、上报造价行业主管部门、解除中标标段后续项目协审服务合同等措施。）</w:t>
            </w:r>
            <w:r/>
          </w:p>
        </w:tc>
        <w:tc>
          <w:tcPr>
            <w:shd w:val="clear" w:color="auto" w:fill="auto"/>
            <w:tcW w:w="0" w:type="auto"/>
            <w:vAlign w:val="center"/>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考核</w:t>
            </w:r>
            <w:r>
              <w:rPr>
                <w:rFonts w:hint="eastAsia" w:ascii="宋体" w:hAnsi="宋体" w:cs="宋体"/>
                <w:color w:val="auto"/>
                <w:sz w:val="22"/>
                <w:highlight w:val="none"/>
              </w:rPr>
              <w:br/>
            </w:r>
            <w:r>
              <w:rPr>
                <w:rFonts w:hint="eastAsia" w:ascii="宋体" w:hAnsi="宋体" w:cs="宋体"/>
                <w:color w:val="auto"/>
                <w:sz w:val="22"/>
                <w:highlight w:val="none"/>
              </w:rPr>
              <w:t xml:space="preserve">得分</w:t>
            </w:r>
            <w:r/>
          </w:p>
        </w:tc>
        <w:tc>
          <w:tcPr>
            <w:shd w:val="clear" w:color="auto" w:fill="auto"/>
            <w:tcW w:w="0" w:type="auto"/>
            <w:vAlign w:val="center"/>
            <w:textDirection w:val="lrTb"/>
            <w:noWrap/>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r/>
          </w:p>
          <w:p>
            <w:pPr>
              <w:jc w:val="left"/>
              <w:widowControl/>
              <w:rPr>
                <w:rFonts w:ascii="宋体" w:hAnsi="宋体" w:cs="宋体"/>
                <w:color w:val="auto"/>
                <w:sz w:val="22"/>
                <w:highlight w:val="none"/>
              </w:rPr>
            </w:pPr>
            <w:r>
              <w:rPr>
                <w:rFonts w:hint="eastAsia" w:ascii="宋体" w:hAnsi="宋体" w:cs="宋体"/>
                <w:color w:val="auto"/>
                <w:sz w:val="22"/>
                <w:highlight w:val="none"/>
              </w:rPr>
              <w:t xml:space="preserve">　</w:t>
            </w:r>
            <w:r/>
          </w:p>
        </w:tc>
      </w:tr>
      <w:tr>
        <w:trPr>
          <w:trHeight w:val="585"/>
        </w:trPr>
        <w:tc>
          <w:tcPr>
            <w:shd w:val="clear" w:color="auto" w:fill="auto"/>
            <w:tcW w:w="0" w:type="auto"/>
            <w:vAlign w:val="center"/>
            <w:vMerge w:val="restart"/>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协审单位意见</w:t>
            </w:r>
            <w:r/>
          </w:p>
        </w:tc>
        <w:tc>
          <w:tcPr>
            <w:shd w:val="clear" w:color="auto" w:fill="auto"/>
            <w:tcW w:w="0" w:type="auto"/>
            <w:vAlign w:val="center"/>
            <w:vMerge w:val="restart"/>
            <w:textDirection w:val="lrTb"/>
            <w:noWrap/>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　</w:t>
            </w:r>
            <w:r/>
          </w:p>
        </w:tc>
        <w:tc>
          <w:tcPr>
            <w:gridSpan w:val="2"/>
            <w:shd w:val="clear" w:color="auto" w:fill="auto"/>
            <w:tcW w:w="0" w:type="auto"/>
            <w:vAlign w:val="center"/>
            <w:vMerge w:val="restart"/>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br/>
            </w:r>
            <w:r>
              <w:rPr>
                <w:rFonts w:hint="eastAsia" w:ascii="宋体" w:hAnsi="宋体" w:cs="宋体"/>
                <w:color w:val="auto"/>
                <w:sz w:val="22"/>
                <w:highlight w:val="none"/>
              </w:rPr>
              <w:br/>
            </w:r>
            <w:r>
              <w:rPr>
                <w:rFonts w:hint="eastAsia" w:ascii="宋体" w:hAnsi="宋体" w:cs="宋体"/>
                <w:color w:val="auto"/>
                <w:sz w:val="22"/>
                <w:highlight w:val="none"/>
              </w:rPr>
              <w:t xml:space="preserve">（协审单位盖章）</w:t>
            </w:r>
            <w:r>
              <w:rPr>
                <w:rFonts w:hint="eastAsia" w:ascii="宋体" w:hAnsi="宋体" w:cs="宋体"/>
                <w:color w:val="auto"/>
                <w:sz w:val="22"/>
                <w:highlight w:val="none"/>
              </w:rPr>
              <w:br/>
            </w:r>
            <w:r>
              <w:rPr>
                <w:rFonts w:hint="eastAsia" w:ascii="宋体" w:hAnsi="宋体" w:cs="宋体"/>
                <w:color w:val="auto"/>
                <w:sz w:val="22"/>
                <w:highlight w:val="none"/>
              </w:rPr>
              <w:br/>
            </w:r>
            <w:r>
              <w:rPr>
                <w:rFonts w:hint="eastAsia" w:ascii="宋体" w:hAnsi="宋体" w:cs="宋体"/>
                <w:color w:val="auto"/>
                <w:sz w:val="22"/>
                <w:highlight w:val="none"/>
              </w:rPr>
              <w:t xml:space="preserve">年    月    日</w:t>
            </w:r>
            <w:r/>
          </w:p>
        </w:tc>
      </w:tr>
    </w:tbl>
    <w:p>
      <w:pPr>
        <w:rPr>
          <w:color w:val="auto"/>
          <w:highlight w:val="none"/>
        </w:rPr>
      </w:pPr>
      <w:r>
        <w:rPr>
          <w:color w:val="auto"/>
          <w:highlight w:val="none"/>
        </w:rPr>
      </w:r>
      <w:r/>
    </w:p>
    <w:p>
      <w:pPr>
        <w:ind w:firstLine="424"/>
        <w:jc w:val="left"/>
        <w:spacing w:line="405" w:lineRule="atLeast"/>
        <w:shd w:val="clear" w:color="auto" w:fill="ffffff"/>
        <w:widowControl/>
        <w:rPr>
          <w:rFonts w:ascii="宋体" w:hAnsi="宋体" w:eastAsia="仿宋_GB2312"/>
          <w:color w:val="auto"/>
          <w:sz w:val="30"/>
          <w:szCs w:val="21"/>
          <w:highlight w:val="none"/>
        </w:rPr>
      </w:pPr>
      <w:r>
        <w:rPr>
          <w:rFonts w:hint="eastAsia" w:ascii="宋体" w:hAnsi="宋体"/>
          <w:color w:val="auto"/>
          <w:szCs w:val="21"/>
          <w:highlight w:val="none"/>
        </w:rPr>
        <w:t xml:space="preserve">备注：若考核表内容后续有调整，以实际调整为准。</w:t>
      </w:r>
      <w:bookmarkEnd w:id="16"/>
      <w:r/>
      <w:bookmarkEnd w:id="17"/>
      <w:r/>
      <w:bookmarkEnd w:id="18"/>
      <w:r/>
      <w:r/>
    </w:p>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Symbol">
    <w:panose1 w:val="05050102010706020507"/>
  </w:font>
  <w:font w:name="Wingdings">
    <w:panose1 w:val="05000000000000000000"/>
  </w:font>
  <w:font w:name="Courier New">
    <w:panose1 w:val="02070309020205020404"/>
  </w:font>
  <w:font w:name="方正小标宋简体">
    <w:panose1 w:val="020B0503020202020204"/>
  </w:font>
  <w:font w:name="黑体">
    <w:panose1 w:val="02010609060101010101"/>
  </w:font>
  <w:font w:name="仿宋_GB2312">
    <w:panose1 w:val="0201060906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rPr>
        <w:lang w:val="zh-CN"/>
      </w:rPr>
      <w:t xml:space="preserve">2</w:t>
    </w:r>
    <w:r>
      <w:fldChar w:fldCharType="end"/>
    </w:r>
    <w:r/>
  </w:p>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61"/>
      </w:rPr>
      <w:framePr w:wrap="around" w:vAnchor="text" w:hAnchor="margin" w:xAlign="center" w:y="1"/>
    </w:pPr>
    <w:r>
      <w:rPr>
        <w:rStyle w:val="761"/>
      </w:rPr>
      <w:fldChar w:fldCharType="begin"/>
    </w:r>
    <w:r>
      <w:rPr>
        <w:rStyle w:val="761"/>
      </w:rPr>
      <w:instrText xml:space="preserve">PAGE  </w:instrText>
    </w:r>
    <w:r>
      <w:rPr>
        <w:rStyle w:val="761"/>
      </w:rP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69240" cy="16002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69240" cy="160020"/>
                      </a:xfrm>
                      <a:prstGeom prst="rect">
                        <a:avLst/>
                      </a:prstGeom>
                      <a:noFill/>
                      <a:ln w="15875">
                        <a:noFill/>
                      </a:ln>
                      <a:effectLst/>
                    </wps:spPr>
                    <wps:txbx>
                      <w:txbxContent>
                        <w:p>
                          <w:pPr>
                            <w:pStyle w:val="746"/>
                          </w:pPr>
                          <w:r>
                            <w:fldChar w:fldCharType="begin"/>
                          </w:r>
                          <w:r>
                            <w:instrText xml:space="preserve"> PAGE  \* MERGEFORMAT </w:instrText>
                          </w:r>
                          <w:r>
                            <w:fldChar w:fldCharType="separate"/>
                          </w:r>
                          <w:r>
                            <w:t xml:space="preserve">89</w:t>
                          </w:r>
                          <w:r>
                            <w:fldChar w:fldCharType="end"/>
                          </w:r>
                          <w:r/>
                        </w:p>
                      </w:txbxContent>
                    </wps:txbx>
                    <wps:bodyPr lIns="0" tIns="0" rIns="0" bIns="0"/>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1.2pt;height:12.6pt;mso-wrap-distance-left:9.0pt;mso-wrap-distance-top:0.0pt;mso-wrap-distance-right:9.0pt;mso-wrap-distance-bottom:0.0pt;visibility:visible;" filled="f" stroked="f" strokeweight="1.25pt">
              <v:textbox inset="0,0,0,0">
                <w:txbxContent>
                  <w:p>
                    <w:pPr>
                      <w:pStyle w:val="746"/>
                    </w:pPr>
                    <w:r>
                      <w:fldChar w:fldCharType="begin"/>
                    </w:r>
                    <w:r>
                      <w:instrText xml:space="preserve"> PAGE  \* MERGEFORMAT </w:instrText>
                    </w:r>
                    <w:r>
                      <w:fldChar w:fldCharType="separate"/>
                    </w:r>
                    <w:r>
                      <w:t xml:space="preserve">89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next w:val="736"/>
    <w:uiPriority w:val="0"/>
    <w:qFormat/>
    <w:pPr>
      <w:jc w:val="both"/>
      <w:widowControl w:val="off"/>
    </w:pPr>
    <w:rPr>
      <w:rFonts w:ascii="Times New Roman" w:hAnsi="Times New Roman" w:eastAsia="宋体" w:cs="Times New Roman"/>
      <w:sz w:val="21"/>
      <w:szCs w:val="22"/>
      <w:lang w:val="en-US" w:eastAsia="zh-CN" w:bidi="ar-SA"/>
    </w:rPr>
  </w:style>
  <w:style w:type="paragraph" w:styleId="725">
    <w:name w:val="Heading 1"/>
    <w:basedOn w:val="724"/>
    <w:next w:val="724"/>
    <w:link w:val="801"/>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02"/>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03"/>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04"/>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05"/>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806"/>
    <w:uiPriority w:val="9"/>
    <w:unhideWhenUsed/>
    <w:qFormat/>
    <w:pPr>
      <w:keepLines/>
      <w:keepNext/>
      <w:spacing w:before="320" w:after="200"/>
      <w:outlineLvl w:val="5"/>
    </w:pPr>
    <w:rPr>
      <w:rFonts w:ascii="Arial" w:hAnsi="Arial" w:eastAsia="Arial" w:cs="Arial"/>
      <w:b/>
      <w:bCs/>
      <w:sz w:val="22"/>
    </w:rPr>
  </w:style>
  <w:style w:type="paragraph" w:styleId="731">
    <w:name w:val="Heading 7"/>
    <w:basedOn w:val="724"/>
    <w:next w:val="724"/>
    <w:link w:val="807"/>
    <w:uiPriority w:val="9"/>
    <w:unhideWhenUsed/>
    <w:qFormat/>
    <w:pPr>
      <w:keepLines/>
      <w:keepNext/>
      <w:spacing w:before="320" w:after="200"/>
      <w:outlineLvl w:val="6"/>
    </w:pPr>
    <w:rPr>
      <w:rFonts w:ascii="Arial" w:hAnsi="Arial" w:eastAsia="Arial" w:cs="Arial"/>
      <w:b/>
      <w:bCs/>
      <w:i/>
      <w:iCs/>
      <w:sz w:val="22"/>
    </w:rPr>
  </w:style>
  <w:style w:type="paragraph" w:styleId="732">
    <w:name w:val="Heading 8"/>
    <w:basedOn w:val="724"/>
    <w:next w:val="724"/>
    <w:link w:val="808"/>
    <w:uiPriority w:val="9"/>
    <w:unhideWhenUsed/>
    <w:qFormat/>
    <w:pPr>
      <w:keepLines/>
      <w:keepNext/>
      <w:spacing w:before="320" w:after="200"/>
      <w:outlineLvl w:val="7"/>
    </w:pPr>
    <w:rPr>
      <w:rFonts w:ascii="Arial" w:hAnsi="Arial" w:eastAsia="Arial" w:cs="Arial"/>
      <w:i/>
      <w:iCs/>
      <w:sz w:val="22"/>
    </w:rPr>
  </w:style>
  <w:style w:type="paragraph" w:styleId="733">
    <w:name w:val="Heading 9"/>
    <w:basedOn w:val="724"/>
    <w:next w:val="724"/>
    <w:link w:val="809"/>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Body Text Indent"/>
    <w:basedOn w:val="724"/>
    <w:next w:val="724"/>
    <w:uiPriority w:val="99"/>
    <w:qFormat/>
    <w:pPr>
      <w:ind w:left="570"/>
      <w:spacing w:line="520" w:lineRule="exact"/>
    </w:pPr>
    <w:rPr>
      <w:rFonts w:ascii="方正仿宋简体" w:hAnsi="创艺简仿宋" w:eastAsia="方正仿宋简体"/>
      <w:sz w:val="24"/>
      <w:szCs w:val="20"/>
    </w:rPr>
  </w:style>
  <w:style w:type="paragraph" w:styleId="737">
    <w:name w:val="toc 7"/>
    <w:basedOn w:val="724"/>
    <w:next w:val="724"/>
    <w:uiPriority w:val="39"/>
    <w:unhideWhenUsed/>
    <w:qFormat/>
    <w:pPr>
      <w:ind w:left="1701"/>
      <w:spacing w:after="57"/>
    </w:pPr>
  </w:style>
  <w:style w:type="paragraph" w:styleId="738">
    <w:name w:val="Caption"/>
    <w:basedOn w:val="724"/>
    <w:next w:val="72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9">
    <w:name w:val="annotation text"/>
    <w:basedOn w:val="724"/>
    <w:uiPriority w:val="0"/>
    <w:qFormat/>
    <w:pPr>
      <w:jc w:val="left"/>
    </w:pPr>
  </w:style>
  <w:style w:type="paragraph" w:styleId="740">
    <w:name w:val="Body Text"/>
    <w:basedOn w:val="724"/>
    <w:uiPriority w:val="0"/>
    <w:qFormat/>
    <w:rPr>
      <w:sz w:val="24"/>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toc 8"/>
    <w:basedOn w:val="724"/>
    <w:next w:val="724"/>
    <w:uiPriority w:val="39"/>
    <w:unhideWhenUsed/>
    <w:qFormat/>
    <w:pPr>
      <w:ind w:left="1984"/>
      <w:spacing w:after="57"/>
    </w:pPr>
  </w:style>
  <w:style w:type="paragraph" w:styleId="744">
    <w:name w:val="endnote text"/>
    <w:basedOn w:val="724"/>
    <w:link w:val="947"/>
    <w:uiPriority w:val="99"/>
    <w:semiHidden/>
    <w:unhideWhenUsed/>
    <w:qFormat/>
    <w:rPr>
      <w:sz w:val="20"/>
    </w:rPr>
  </w:style>
  <w:style w:type="paragraph" w:styleId="745">
    <w:name w:val="Balloon Text"/>
    <w:basedOn w:val="724"/>
    <w:uiPriority w:val="0"/>
    <w:qFormat/>
    <w:rPr>
      <w:sz w:val="18"/>
      <w:szCs w:val="18"/>
    </w:rPr>
  </w:style>
  <w:style w:type="paragraph" w:styleId="746">
    <w:name w:val="Footer"/>
    <w:basedOn w:val="724"/>
    <w:link w:val="982"/>
    <w:uiPriority w:val="99"/>
    <w:qFormat/>
    <w:pPr>
      <w:jc w:val="left"/>
      <w:widowControl/>
      <w:tabs>
        <w:tab w:val="center" w:pos="4153" w:leader="none"/>
        <w:tab w:val="right" w:pos="8306" w:leader="none"/>
      </w:tabs>
    </w:pPr>
    <w:rPr>
      <w:rFonts w:eastAsia="楷体_GB2312"/>
      <w:sz w:val="18"/>
      <w:szCs w:val="20"/>
    </w:rPr>
  </w:style>
  <w:style w:type="paragraph" w:styleId="747">
    <w:name w:val="Header"/>
    <w:basedOn w:val="724"/>
    <w:link w:val="818"/>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48">
    <w:name w:val="toc 1"/>
    <w:basedOn w:val="724"/>
    <w:next w:val="724"/>
    <w:uiPriority w:val="39"/>
    <w:unhideWhenUsed/>
    <w:qFormat/>
    <w:pPr>
      <w:spacing w:after="57"/>
    </w:pPr>
  </w:style>
  <w:style w:type="paragraph" w:styleId="749">
    <w:name w:val="toc 4"/>
    <w:basedOn w:val="724"/>
    <w:next w:val="724"/>
    <w:uiPriority w:val="39"/>
    <w:unhideWhenUsed/>
    <w:qFormat/>
    <w:pPr>
      <w:ind w:left="850"/>
      <w:spacing w:after="57"/>
    </w:pPr>
  </w:style>
  <w:style w:type="paragraph" w:styleId="750">
    <w:name w:val="Subtitle"/>
    <w:basedOn w:val="724"/>
    <w:next w:val="724"/>
    <w:link w:val="813"/>
    <w:uiPriority w:val="11"/>
    <w:qFormat/>
    <w:pPr>
      <w:spacing w:before="200" w:after="200"/>
    </w:pPr>
    <w:rPr>
      <w:sz w:val="24"/>
      <w:szCs w:val="24"/>
    </w:rPr>
  </w:style>
  <w:style w:type="paragraph" w:styleId="751">
    <w:name w:val="footnote text"/>
    <w:basedOn w:val="724"/>
    <w:link w:val="946"/>
    <w:uiPriority w:val="99"/>
    <w:semiHidden/>
    <w:unhideWhenUsed/>
    <w:qFormat/>
    <w:pPr>
      <w:spacing w:after="40"/>
    </w:pPr>
    <w:rPr>
      <w:sz w:val="18"/>
    </w:rPr>
  </w:style>
  <w:style w:type="paragraph" w:styleId="752">
    <w:name w:val="toc 6"/>
    <w:basedOn w:val="724"/>
    <w:next w:val="724"/>
    <w:uiPriority w:val="39"/>
    <w:unhideWhenUsed/>
    <w:qFormat/>
    <w:pPr>
      <w:ind w:left="1417"/>
      <w:spacing w:after="57"/>
    </w:pPr>
  </w:style>
  <w:style w:type="paragraph" w:styleId="753">
    <w:name w:val="Body Text Indent 3"/>
    <w:basedOn w:val="724"/>
    <w:uiPriority w:val="0"/>
    <w:qFormat/>
    <w:pPr>
      <w:ind w:left="420"/>
      <w:jc w:val="left"/>
      <w:spacing w:after="120"/>
      <w:widowControl/>
    </w:pPr>
    <w:rPr>
      <w:sz w:val="16"/>
      <w:szCs w:val="20"/>
    </w:rPr>
  </w:style>
  <w:style w:type="paragraph" w:styleId="754">
    <w:name w:val="table of figures"/>
    <w:basedOn w:val="724"/>
    <w:next w:val="724"/>
    <w:uiPriority w:val="99"/>
    <w:unhideWhenUsed/>
    <w:qFormat/>
  </w:style>
  <w:style w:type="paragraph" w:styleId="755">
    <w:name w:val="toc 2"/>
    <w:basedOn w:val="724"/>
    <w:next w:val="724"/>
    <w:uiPriority w:val="39"/>
    <w:unhideWhenUsed/>
    <w:qFormat/>
    <w:pPr>
      <w:ind w:left="283"/>
      <w:spacing w:after="57"/>
    </w:pPr>
  </w:style>
  <w:style w:type="paragraph" w:styleId="756">
    <w:name w:val="toc 9"/>
    <w:basedOn w:val="724"/>
    <w:next w:val="724"/>
    <w:uiPriority w:val="39"/>
    <w:unhideWhenUsed/>
    <w:qFormat/>
    <w:pPr>
      <w:ind w:left="2268"/>
      <w:spacing w:after="57"/>
    </w:pPr>
  </w:style>
  <w:style w:type="paragraph" w:styleId="757">
    <w:name w:val="Normal (Web)"/>
    <w:basedOn w:val="724"/>
    <w:uiPriority w:val="0"/>
    <w:qFormat/>
    <w:rPr>
      <w:sz w:val="24"/>
    </w:rPr>
  </w:style>
  <w:style w:type="paragraph" w:styleId="758">
    <w:name w:val="Title"/>
    <w:basedOn w:val="724"/>
    <w:next w:val="724"/>
    <w:link w:val="812"/>
    <w:uiPriority w:val="10"/>
    <w:qFormat/>
    <w:pPr>
      <w:contextualSpacing/>
      <w:spacing w:before="300" w:after="200"/>
    </w:pPr>
    <w:rPr>
      <w:sz w:val="48"/>
      <w:szCs w:val="48"/>
    </w:rPr>
  </w:style>
  <w:style w:type="table" w:styleId="759">
    <w:name w:val="Table Grid"/>
    <w:basedOn w:val="7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endnote reference"/>
    <w:basedOn w:val="734"/>
    <w:uiPriority w:val="99"/>
    <w:semiHidden/>
    <w:unhideWhenUsed/>
    <w:qFormat/>
    <w:rPr>
      <w:vertAlign w:val="superscript"/>
    </w:rPr>
  </w:style>
  <w:style w:type="character" w:styleId="761">
    <w:name w:val="page number"/>
    <w:basedOn w:val="734"/>
    <w:uiPriority w:val="99"/>
    <w:semiHidden/>
    <w:unhideWhenUsed/>
    <w:qFormat/>
  </w:style>
  <w:style w:type="character" w:styleId="762">
    <w:name w:val="FollowedHyperlink"/>
    <w:basedOn w:val="734"/>
    <w:uiPriority w:val="99"/>
    <w:unhideWhenUsed/>
    <w:qFormat/>
    <w:rPr>
      <w:color w:val="800080"/>
      <w:u w:val="single"/>
    </w:rPr>
  </w:style>
  <w:style w:type="character" w:styleId="763">
    <w:name w:val="Hyperlink"/>
    <w:basedOn w:val="734"/>
    <w:uiPriority w:val="99"/>
    <w:unhideWhenUsed/>
    <w:qFormat/>
    <w:rPr>
      <w:color w:val="0000ff"/>
      <w:u w:val="single"/>
    </w:rPr>
  </w:style>
  <w:style w:type="character" w:styleId="764">
    <w:name w:val="footnote reference"/>
    <w:basedOn w:val="734"/>
    <w:uiPriority w:val="99"/>
    <w:unhideWhenUsed/>
    <w:qFormat/>
    <w:rPr>
      <w:vertAlign w:val="superscript"/>
    </w:rPr>
  </w:style>
  <w:style w:type="character" w:styleId="765" w:customStyle="1">
    <w:name w:val="Heading 1 Char"/>
    <w:basedOn w:val="734"/>
    <w:uiPriority w:val="9"/>
    <w:qFormat/>
    <w:rPr>
      <w:rFonts w:ascii="Arial" w:hAnsi="Arial" w:eastAsia="Arial" w:cs="Arial"/>
      <w:sz w:val="40"/>
      <w:szCs w:val="40"/>
    </w:rPr>
  </w:style>
  <w:style w:type="character" w:styleId="766" w:customStyle="1">
    <w:name w:val="Heading 2 Char"/>
    <w:basedOn w:val="734"/>
    <w:uiPriority w:val="9"/>
    <w:qFormat/>
    <w:rPr>
      <w:rFonts w:ascii="Arial" w:hAnsi="Arial" w:eastAsia="Arial" w:cs="Arial"/>
      <w:sz w:val="34"/>
    </w:rPr>
  </w:style>
  <w:style w:type="character" w:styleId="767" w:customStyle="1">
    <w:name w:val="Heading 3 Char"/>
    <w:basedOn w:val="734"/>
    <w:uiPriority w:val="9"/>
    <w:rPr>
      <w:rFonts w:ascii="Arial" w:hAnsi="Arial" w:eastAsia="Arial" w:cs="Arial"/>
      <w:sz w:val="30"/>
      <w:szCs w:val="30"/>
    </w:rPr>
  </w:style>
  <w:style w:type="character" w:styleId="768" w:customStyle="1">
    <w:name w:val="Heading 4 Char"/>
    <w:basedOn w:val="734"/>
    <w:uiPriority w:val="9"/>
    <w:qFormat/>
    <w:rPr>
      <w:rFonts w:ascii="Arial" w:hAnsi="Arial" w:eastAsia="Arial" w:cs="Arial"/>
      <w:b/>
      <w:bCs/>
      <w:sz w:val="26"/>
      <w:szCs w:val="26"/>
    </w:rPr>
  </w:style>
  <w:style w:type="character" w:styleId="769" w:customStyle="1">
    <w:name w:val="Heading 5 Char"/>
    <w:basedOn w:val="734"/>
    <w:uiPriority w:val="9"/>
    <w:qFormat/>
    <w:rPr>
      <w:rFonts w:ascii="Arial" w:hAnsi="Arial" w:eastAsia="Arial" w:cs="Arial"/>
      <w:b/>
      <w:bCs/>
      <w:sz w:val="24"/>
      <w:szCs w:val="24"/>
    </w:rPr>
  </w:style>
  <w:style w:type="character" w:styleId="770" w:customStyle="1">
    <w:name w:val="Heading 6 Char"/>
    <w:basedOn w:val="734"/>
    <w:uiPriority w:val="9"/>
    <w:qFormat/>
    <w:rPr>
      <w:rFonts w:ascii="Arial" w:hAnsi="Arial" w:eastAsia="Arial" w:cs="Arial"/>
      <w:b/>
      <w:bCs/>
      <w:sz w:val="22"/>
      <w:szCs w:val="22"/>
    </w:rPr>
  </w:style>
  <w:style w:type="character" w:styleId="771" w:customStyle="1">
    <w:name w:val="Heading 7 Char"/>
    <w:basedOn w:val="734"/>
    <w:uiPriority w:val="9"/>
    <w:rPr>
      <w:rFonts w:ascii="Arial" w:hAnsi="Arial" w:eastAsia="Arial" w:cs="Arial"/>
      <w:b/>
      <w:bCs/>
      <w:i/>
      <w:iCs/>
      <w:sz w:val="22"/>
      <w:szCs w:val="22"/>
    </w:rPr>
  </w:style>
  <w:style w:type="character" w:styleId="772" w:customStyle="1">
    <w:name w:val="Heading 8 Char"/>
    <w:basedOn w:val="734"/>
    <w:uiPriority w:val="9"/>
    <w:qFormat/>
    <w:rPr>
      <w:rFonts w:ascii="Arial" w:hAnsi="Arial" w:eastAsia="Arial" w:cs="Arial"/>
      <w:i/>
      <w:iCs/>
      <w:sz w:val="22"/>
      <w:szCs w:val="22"/>
    </w:rPr>
  </w:style>
  <w:style w:type="character" w:styleId="773" w:customStyle="1">
    <w:name w:val="Heading 9 Char"/>
    <w:basedOn w:val="734"/>
    <w:uiPriority w:val="9"/>
    <w:rPr>
      <w:rFonts w:ascii="Arial" w:hAnsi="Arial" w:eastAsia="Arial" w:cs="Arial"/>
      <w:i/>
      <w:iCs/>
      <w:sz w:val="21"/>
      <w:szCs w:val="21"/>
    </w:rPr>
  </w:style>
  <w:style w:type="character" w:styleId="774" w:customStyle="1">
    <w:name w:val="Title Char"/>
    <w:basedOn w:val="734"/>
    <w:uiPriority w:val="10"/>
    <w:rPr>
      <w:sz w:val="48"/>
      <w:szCs w:val="48"/>
    </w:rPr>
  </w:style>
  <w:style w:type="character" w:styleId="775" w:customStyle="1">
    <w:name w:val="Subtitle Char"/>
    <w:basedOn w:val="734"/>
    <w:uiPriority w:val="11"/>
    <w:rPr>
      <w:sz w:val="24"/>
      <w:szCs w:val="24"/>
    </w:rPr>
  </w:style>
  <w:style w:type="character" w:styleId="776" w:customStyle="1">
    <w:name w:val="Quote Char"/>
    <w:uiPriority w:val="29"/>
    <w:rPr>
      <w:i/>
    </w:rPr>
  </w:style>
  <w:style w:type="character" w:styleId="777" w:customStyle="1">
    <w:name w:val="Intense Quote Char"/>
    <w:uiPriority w:val="30"/>
    <w:rPr>
      <w:i/>
    </w:rPr>
  </w:style>
  <w:style w:type="character" w:styleId="778" w:customStyle="1">
    <w:name w:val="Header Char"/>
    <w:basedOn w:val="734"/>
    <w:uiPriority w:val="99"/>
  </w:style>
  <w:style w:type="table" w:styleId="779" w:customStyle="1">
    <w:name w:val="Plain Table 1"/>
    <w:basedOn w:val="735"/>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3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3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3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3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35"/>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2"/>
    <w:basedOn w:val="73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3"/>
    <w:basedOn w:val="73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5 Dark"/>
    <w:basedOn w:val="73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6 Colorful"/>
    <w:basedOn w:val="735"/>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7 Colorful"/>
    <w:basedOn w:val="735"/>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List Table 1 Light"/>
    <w:basedOn w:val="735"/>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2"/>
    <w:basedOn w:val="735"/>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3"/>
    <w:basedOn w:val="73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w:basedOn w:val="73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5 Dark"/>
    <w:basedOn w:val="735"/>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735"/>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7 Colorful"/>
    <w:basedOn w:val="735"/>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8" w:customStyle="1">
    <w:name w:val="Footnote Text Char"/>
    <w:uiPriority w:val="99"/>
    <w:qFormat/>
    <w:rPr>
      <w:sz w:val="18"/>
    </w:rPr>
  </w:style>
  <w:style w:type="character" w:styleId="799" w:customStyle="1">
    <w:name w:val="Endnote Text Char"/>
    <w:uiPriority w:val="99"/>
    <w:rPr>
      <w:sz w:val="20"/>
    </w:rPr>
  </w:style>
  <w:style w:type="paragraph" w:styleId="800" w:customStyle="1">
    <w:name w:val="TOC Heading"/>
    <w:uiPriority w:val="39"/>
    <w:unhideWhenUsed/>
    <w:rPr>
      <w:rFonts w:ascii="Times New Roman" w:hAnsi="Times New Roman" w:eastAsia="宋体" w:cs="Times New Roman"/>
      <w:lang w:val="en-US" w:eastAsia="zh-CN" w:bidi="ar-SA"/>
    </w:rPr>
  </w:style>
  <w:style w:type="character" w:styleId="801" w:customStyle="1">
    <w:name w:val="标题 1 字符"/>
    <w:basedOn w:val="734"/>
    <w:link w:val="725"/>
    <w:uiPriority w:val="9"/>
    <w:qFormat/>
    <w:rPr>
      <w:rFonts w:ascii="Arial" w:hAnsi="Arial" w:eastAsia="Arial" w:cs="Arial"/>
      <w:sz w:val="40"/>
      <w:szCs w:val="40"/>
    </w:rPr>
  </w:style>
  <w:style w:type="character" w:styleId="802" w:customStyle="1">
    <w:name w:val="标题 2 字符"/>
    <w:basedOn w:val="734"/>
    <w:link w:val="726"/>
    <w:uiPriority w:val="9"/>
    <w:qFormat/>
    <w:rPr>
      <w:rFonts w:ascii="Arial" w:hAnsi="Arial" w:eastAsia="Arial" w:cs="Arial"/>
      <w:sz w:val="34"/>
    </w:rPr>
  </w:style>
  <w:style w:type="character" w:styleId="803" w:customStyle="1">
    <w:name w:val="标题 3 字符"/>
    <w:basedOn w:val="734"/>
    <w:link w:val="727"/>
    <w:uiPriority w:val="9"/>
    <w:qFormat/>
    <w:rPr>
      <w:rFonts w:ascii="Arial" w:hAnsi="Arial" w:eastAsia="Arial" w:cs="Arial"/>
      <w:sz w:val="30"/>
      <w:szCs w:val="30"/>
    </w:rPr>
  </w:style>
  <w:style w:type="character" w:styleId="804" w:customStyle="1">
    <w:name w:val="标题 4 字符"/>
    <w:basedOn w:val="734"/>
    <w:link w:val="728"/>
    <w:uiPriority w:val="9"/>
    <w:qFormat/>
    <w:rPr>
      <w:rFonts w:ascii="Arial" w:hAnsi="Arial" w:eastAsia="Arial" w:cs="Arial"/>
      <w:b/>
      <w:bCs/>
      <w:sz w:val="26"/>
      <w:szCs w:val="26"/>
    </w:rPr>
  </w:style>
  <w:style w:type="character" w:styleId="805" w:customStyle="1">
    <w:name w:val="标题 5 字符"/>
    <w:basedOn w:val="734"/>
    <w:link w:val="729"/>
    <w:uiPriority w:val="9"/>
    <w:qFormat/>
    <w:rPr>
      <w:rFonts w:ascii="Arial" w:hAnsi="Arial" w:eastAsia="Arial" w:cs="Arial"/>
      <w:b/>
      <w:bCs/>
      <w:sz w:val="24"/>
      <w:szCs w:val="24"/>
    </w:rPr>
  </w:style>
  <w:style w:type="character" w:styleId="806" w:customStyle="1">
    <w:name w:val="标题 6 字符"/>
    <w:basedOn w:val="734"/>
    <w:link w:val="730"/>
    <w:uiPriority w:val="9"/>
    <w:qFormat/>
    <w:rPr>
      <w:rFonts w:ascii="Arial" w:hAnsi="Arial" w:eastAsia="Arial" w:cs="Arial"/>
      <w:b/>
      <w:bCs/>
      <w:sz w:val="22"/>
      <w:szCs w:val="22"/>
    </w:rPr>
  </w:style>
  <w:style w:type="character" w:styleId="807" w:customStyle="1">
    <w:name w:val="标题 7 字符"/>
    <w:basedOn w:val="734"/>
    <w:link w:val="731"/>
    <w:uiPriority w:val="9"/>
    <w:qFormat/>
    <w:rPr>
      <w:rFonts w:ascii="Arial" w:hAnsi="Arial" w:eastAsia="Arial" w:cs="Arial"/>
      <w:b/>
      <w:bCs/>
      <w:i/>
      <w:iCs/>
      <w:sz w:val="22"/>
      <w:szCs w:val="22"/>
    </w:rPr>
  </w:style>
  <w:style w:type="character" w:styleId="808" w:customStyle="1">
    <w:name w:val="标题 8 字符"/>
    <w:basedOn w:val="734"/>
    <w:link w:val="732"/>
    <w:uiPriority w:val="9"/>
    <w:qFormat/>
    <w:rPr>
      <w:rFonts w:ascii="Arial" w:hAnsi="Arial" w:eastAsia="Arial" w:cs="Arial"/>
      <w:i/>
      <w:iCs/>
      <w:sz w:val="22"/>
      <w:szCs w:val="22"/>
    </w:rPr>
  </w:style>
  <w:style w:type="character" w:styleId="809" w:customStyle="1">
    <w:name w:val="标题 9 字符"/>
    <w:basedOn w:val="734"/>
    <w:link w:val="733"/>
    <w:uiPriority w:val="9"/>
    <w:rPr>
      <w:rFonts w:ascii="Arial" w:hAnsi="Arial" w:eastAsia="Arial" w:cs="Arial"/>
      <w:i/>
      <w:iCs/>
      <w:sz w:val="21"/>
      <w:szCs w:val="21"/>
    </w:rPr>
  </w:style>
  <w:style w:type="paragraph" w:styleId="810">
    <w:name w:val="List Paragraph"/>
    <w:basedOn w:val="724"/>
    <w:uiPriority w:val="34"/>
    <w:qFormat/>
    <w:pPr>
      <w:contextualSpacing/>
      <w:ind w:left="720"/>
    </w:pPr>
  </w:style>
  <w:style w:type="paragraph" w:styleId="811">
    <w:name w:val="No Spacing"/>
    <w:uiPriority w:val="1"/>
    <w:qFormat/>
    <w:rPr>
      <w:rFonts w:ascii="Times New Roman" w:hAnsi="Times New Roman" w:eastAsia="宋体" w:cs="Times New Roman"/>
      <w:lang w:val="en-US" w:eastAsia="zh-CN" w:bidi="ar-SA"/>
    </w:rPr>
  </w:style>
  <w:style w:type="character" w:styleId="812" w:customStyle="1">
    <w:name w:val="标题 字符"/>
    <w:basedOn w:val="734"/>
    <w:link w:val="758"/>
    <w:uiPriority w:val="10"/>
    <w:qFormat/>
    <w:rPr>
      <w:sz w:val="48"/>
      <w:szCs w:val="48"/>
    </w:rPr>
  </w:style>
  <w:style w:type="character" w:styleId="813" w:customStyle="1">
    <w:name w:val="副标题 字符"/>
    <w:basedOn w:val="734"/>
    <w:link w:val="750"/>
    <w:uiPriority w:val="11"/>
    <w:qFormat/>
    <w:rPr>
      <w:sz w:val="24"/>
      <w:szCs w:val="24"/>
    </w:rPr>
  </w:style>
  <w:style w:type="paragraph" w:styleId="814">
    <w:name w:val="Quote"/>
    <w:basedOn w:val="724"/>
    <w:next w:val="724"/>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24"/>
    <w:next w:val="724"/>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basedOn w:val="734"/>
    <w:link w:val="747"/>
    <w:uiPriority w:val="99"/>
    <w:qFormat/>
  </w:style>
  <w:style w:type="character" w:styleId="819" w:customStyle="1">
    <w:name w:val="Footer Char"/>
    <w:basedOn w:val="734"/>
    <w:uiPriority w:val="99"/>
    <w:qFormat/>
  </w:style>
  <w:style w:type="character" w:styleId="820" w:customStyle="1">
    <w:name w:val="Caption Char"/>
    <w:uiPriority w:val="99"/>
    <w:qFormat/>
  </w:style>
  <w:style w:type="table" w:styleId="821" w:customStyle="1">
    <w:name w:val="Table Grid Light"/>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2" w:customStyle="1">
    <w:name w:val="无格式表格 1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3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3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3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3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3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3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3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3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网格表 31"/>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3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3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3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3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3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3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3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0" w:customStyle="1">
    <w:name w:val="Grid Table 4 - Accent 2"/>
    <w:basedOn w:val="73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3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3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3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4" w:customStyle="1">
    <w:name w:val="Grid Table 4 - Accent 6"/>
    <w:basedOn w:val="73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网格表 5 深色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7" w:customStyle="1">
    <w:name w:val="Grid Table 5 Dark - Accent 2"/>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1" w:customStyle="1">
    <w:name w:val="Grid Table 5 Dark - Accent 6"/>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网格表 6 彩色1"/>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3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3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3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6" w:customStyle="1">
    <w:name w:val="Grid Table 6 Colorful - Accent 4"/>
    <w:basedOn w:val="73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3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6 Colorful - Accent 6"/>
    <w:basedOn w:val="73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网格表 7 彩色1"/>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3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3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3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3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3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3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basedOn w:val="73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35"/>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35"/>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35"/>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35"/>
    <w:uiPriority w:val="99"/>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3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35"/>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清单表 21"/>
    <w:basedOn w:val="735"/>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35"/>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735"/>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35"/>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35"/>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3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73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清单表 3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35"/>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73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3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3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3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3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清单表 4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3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735"/>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35"/>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3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3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73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清单表 5 深色1"/>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3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3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3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3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3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3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basedOn w:val="73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3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3" w:customStyle="1">
    <w:name w:val="List Table 6 Colorful - Accent 2"/>
    <w:basedOn w:val="73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3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3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3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7" w:customStyle="1">
    <w:name w:val="List Table 6 Colorful - Accent 6"/>
    <w:basedOn w:val="73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清单表 7 彩色1"/>
    <w:basedOn w:val="73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3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3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3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3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3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3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Lined - Accent 2"/>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Lined - Accent 6"/>
    <w:basedOn w:val="73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3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3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Bordered &amp; Lined - Accent 2"/>
    <w:basedOn w:val="73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3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3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3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Bordered &amp; Lined - Accent 6"/>
    <w:basedOn w:val="73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3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3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1" w:customStyle="1">
    <w:name w:val="Bordered - Accent 2"/>
    <w:basedOn w:val="73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3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3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3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5" w:customStyle="1">
    <w:name w:val="Bordered - Accent 6"/>
    <w:basedOn w:val="73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脚注文本 字符"/>
    <w:link w:val="751"/>
    <w:uiPriority w:val="99"/>
    <w:qFormat/>
    <w:rPr>
      <w:sz w:val="18"/>
    </w:rPr>
  </w:style>
  <w:style w:type="character" w:styleId="947" w:customStyle="1">
    <w:name w:val="尾注文本 字符"/>
    <w:link w:val="744"/>
    <w:uiPriority w:val="99"/>
    <w:qFormat/>
    <w:rPr>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character" w:styleId="949" w:customStyle="1">
    <w:name w:val="font21"/>
    <w:basedOn w:val="734"/>
    <w:uiPriority w:val="0"/>
    <w:qFormat/>
    <w:rPr>
      <w:rFonts w:hint="default" w:ascii="Times New Roman" w:hAnsi="Times New Roman" w:cs="Times New Roman"/>
      <w:color w:val="000000"/>
      <w:sz w:val="28"/>
      <w:szCs w:val="28"/>
      <w:u w:val="none"/>
    </w:rPr>
  </w:style>
  <w:style w:type="character" w:styleId="950" w:customStyle="1">
    <w:name w:val="font31"/>
    <w:basedOn w:val="734"/>
    <w:uiPriority w:val="0"/>
    <w:qFormat/>
    <w:rPr>
      <w:rFonts w:hint="default" w:ascii="Times New Roman" w:hAnsi="Times New Roman" w:cs="Times New Roman"/>
      <w:color w:val="000000"/>
      <w:sz w:val="32"/>
      <w:szCs w:val="32"/>
      <w:u w:val="none"/>
    </w:rPr>
  </w:style>
  <w:style w:type="character" w:styleId="951" w:customStyle="1">
    <w:name w:val="font41"/>
    <w:basedOn w:val="734"/>
    <w:uiPriority w:val="0"/>
    <w:qFormat/>
    <w:rPr>
      <w:rFonts w:hint="eastAsia" w:ascii="仿宋_GB2312" w:eastAsia="仿宋_GB2312" w:cs="仿宋_GB2312"/>
      <w:color w:val="000000"/>
      <w:sz w:val="32"/>
      <w:szCs w:val="32"/>
      <w:u w:val="none"/>
    </w:rPr>
  </w:style>
  <w:style w:type="paragraph" w:styleId="952" w:customStyle="1">
    <w:name w:val="公文标题"/>
    <w:basedOn w:val="724"/>
    <w:uiPriority w:val="0"/>
    <w:qFormat/>
    <w:pPr>
      <w:jc w:val="center"/>
      <w:widowControl/>
    </w:pPr>
    <w:rPr>
      <w:rFonts w:ascii="宋体" w:hAnsi="宋体" w:eastAsia="方正小标宋简体"/>
      <w:sz w:val="36"/>
      <w:szCs w:val="32"/>
    </w:rPr>
  </w:style>
  <w:style w:type="paragraph" w:styleId="953" w:customStyle="1">
    <w:name w:val="纯文本4"/>
    <w:basedOn w:val="724"/>
    <w:uiPriority w:val="0"/>
    <w:qFormat/>
    <w:rPr>
      <w:rFonts w:ascii="宋体" w:hAnsi="Courier New" w:eastAsia="楷体_GB2312"/>
      <w:sz w:val="26"/>
      <w:szCs w:val="20"/>
    </w:rPr>
  </w:style>
  <w:style w:type="paragraph" w:styleId="954" w:customStyle="1">
    <w:name w:val="msonormal"/>
    <w:basedOn w:val="724"/>
    <w:uiPriority w:val="0"/>
    <w:qFormat/>
    <w:pPr>
      <w:jc w:val="left"/>
      <w:spacing w:before="100" w:beforeAutospacing="1" w:after="100" w:afterAutospacing="1"/>
      <w:widowControl/>
    </w:pPr>
    <w:rPr>
      <w:rFonts w:ascii="宋体" w:hAnsi="宋体" w:cs="宋体"/>
      <w:sz w:val="24"/>
      <w:szCs w:val="24"/>
    </w:rPr>
  </w:style>
  <w:style w:type="paragraph" w:styleId="955" w:customStyle="1">
    <w:name w:val="font5"/>
    <w:basedOn w:val="724"/>
    <w:uiPriority w:val="0"/>
    <w:qFormat/>
    <w:pPr>
      <w:jc w:val="left"/>
      <w:spacing w:before="100" w:beforeAutospacing="1" w:after="100" w:afterAutospacing="1"/>
      <w:widowControl/>
    </w:pPr>
    <w:rPr>
      <w:rFonts w:ascii="宋体" w:hAnsi="宋体" w:cs="宋体"/>
      <w:sz w:val="18"/>
      <w:szCs w:val="18"/>
    </w:rPr>
  </w:style>
  <w:style w:type="paragraph" w:styleId="956" w:customStyle="1">
    <w:name w:val="font6"/>
    <w:basedOn w:val="724"/>
    <w:uiPriority w:val="0"/>
    <w:qFormat/>
    <w:pPr>
      <w:jc w:val="left"/>
      <w:spacing w:before="100" w:beforeAutospacing="1" w:after="100" w:afterAutospacing="1"/>
      <w:widowControl/>
    </w:pPr>
    <w:rPr>
      <w:rFonts w:ascii="宋体" w:hAnsi="宋体" w:cs="宋体"/>
      <w:sz w:val="18"/>
      <w:szCs w:val="18"/>
    </w:rPr>
  </w:style>
  <w:style w:type="paragraph" w:styleId="957" w:customStyle="1">
    <w:name w:val="font7"/>
    <w:basedOn w:val="724"/>
    <w:uiPriority w:val="0"/>
    <w:qFormat/>
    <w:pPr>
      <w:jc w:val="left"/>
      <w:spacing w:before="100" w:beforeAutospacing="1" w:after="100" w:afterAutospacing="1"/>
      <w:widowControl/>
    </w:pPr>
    <w:rPr>
      <w:rFonts w:ascii="宋体" w:hAnsi="宋体" w:cs="宋体"/>
      <w:sz w:val="18"/>
      <w:szCs w:val="18"/>
    </w:rPr>
  </w:style>
  <w:style w:type="paragraph" w:styleId="958" w:customStyle="1">
    <w:name w:val="font8"/>
    <w:basedOn w:val="724"/>
    <w:uiPriority w:val="0"/>
    <w:qFormat/>
    <w:pPr>
      <w:jc w:val="left"/>
      <w:spacing w:before="100" w:beforeAutospacing="1" w:after="100" w:afterAutospacing="1"/>
      <w:widowControl/>
    </w:pPr>
    <w:rPr>
      <w:rFonts w:ascii="宋体" w:hAnsi="宋体" w:cs="宋体"/>
      <w:sz w:val="18"/>
      <w:szCs w:val="18"/>
    </w:rPr>
  </w:style>
  <w:style w:type="paragraph" w:styleId="959" w:customStyle="1">
    <w:name w:val="font9"/>
    <w:basedOn w:val="724"/>
    <w:uiPriority w:val="0"/>
    <w:qFormat/>
    <w:pPr>
      <w:jc w:val="left"/>
      <w:spacing w:before="100" w:beforeAutospacing="1" w:after="100" w:afterAutospacing="1"/>
      <w:widowControl/>
    </w:pPr>
    <w:rPr>
      <w:rFonts w:ascii="宋体" w:hAnsi="宋体" w:cs="宋体"/>
      <w:sz w:val="18"/>
      <w:szCs w:val="18"/>
    </w:rPr>
  </w:style>
  <w:style w:type="paragraph" w:styleId="960" w:customStyle="1">
    <w:name w:val="xl41567"/>
    <w:basedOn w:val="724"/>
    <w:uiPriority w:val="0"/>
    <w:qFormat/>
    <w:pPr>
      <w:jc w:val="left"/>
      <w:spacing w:before="100" w:beforeAutospacing="1" w:after="100" w:afterAutospacing="1"/>
      <w:widowControl/>
    </w:pPr>
    <w:rPr>
      <w:rFonts w:ascii="宋体" w:hAnsi="宋体" w:cs="宋体"/>
      <w:sz w:val="24"/>
      <w:szCs w:val="24"/>
    </w:rPr>
  </w:style>
  <w:style w:type="paragraph" w:styleId="961" w:customStyle="1">
    <w:name w:val="xl41568"/>
    <w:basedOn w:val="724"/>
    <w:uiPriority w:val="0"/>
    <w:qFormat/>
    <w:pPr>
      <w:jc w:val="left"/>
      <w:spacing w:before="100" w:beforeAutospacing="1" w:after="100" w:afterAutospacing="1"/>
      <w:widowControl/>
    </w:pPr>
    <w:rPr>
      <w:rFonts w:ascii="宋体" w:hAnsi="宋体" w:cs="宋体"/>
      <w:sz w:val="20"/>
      <w:szCs w:val="20"/>
    </w:rPr>
  </w:style>
  <w:style w:type="paragraph" w:styleId="962" w:customStyle="1">
    <w:name w:val="xl41569"/>
    <w:basedOn w:val="724"/>
    <w:uiPriority w:val="0"/>
    <w:qFormat/>
    <w:pPr>
      <w:jc w:val="center"/>
      <w:spacing w:before="100" w:beforeAutospacing="1" w:after="100" w:afterAutospacing="1"/>
      <w:widowControl/>
    </w:pPr>
    <w:rPr>
      <w:rFonts w:ascii="宋体" w:hAnsi="宋体" w:cs="宋体"/>
      <w:sz w:val="20"/>
      <w:szCs w:val="20"/>
    </w:rPr>
  </w:style>
  <w:style w:type="paragraph" w:styleId="963" w:customStyle="1">
    <w:name w:val="xl41570"/>
    <w:basedOn w:val="724"/>
    <w:uiPriority w:val="0"/>
    <w:qFormat/>
    <w:pPr>
      <w:jc w:val="center"/>
      <w:spacing w:before="100" w:beforeAutospacing="1" w:after="100" w:afterAutospacing="1"/>
      <w:widowControl/>
    </w:pPr>
    <w:rPr>
      <w:rFonts w:ascii="宋体" w:hAnsi="宋体" w:cs="宋体"/>
      <w:sz w:val="18"/>
      <w:szCs w:val="18"/>
    </w:rPr>
  </w:style>
  <w:style w:type="paragraph" w:styleId="964" w:customStyle="1">
    <w:name w:val="xl41571"/>
    <w:basedOn w:val="724"/>
    <w:uiPriority w:val="0"/>
    <w:qFormat/>
    <w:pPr>
      <w:jc w:val="left"/>
      <w:spacing w:before="100" w:beforeAutospacing="1" w:after="100" w:afterAutospacing="1"/>
      <w:widowControl/>
    </w:pPr>
    <w:rPr>
      <w:rFonts w:ascii="宋体" w:hAnsi="宋体" w:cs="宋体"/>
      <w:sz w:val="24"/>
      <w:szCs w:val="24"/>
    </w:rPr>
  </w:style>
  <w:style w:type="paragraph" w:styleId="965" w:customStyle="1">
    <w:name w:val="xl41572"/>
    <w:basedOn w:val="724"/>
    <w:uiPriority w:val="0"/>
    <w:qFormat/>
    <w:pPr>
      <w:jc w:val="left"/>
      <w:spacing w:before="100" w:beforeAutospacing="1" w:after="100" w:afterAutospacing="1"/>
      <w:widowControl/>
    </w:pPr>
    <w:rPr>
      <w:rFonts w:ascii="宋体" w:hAnsi="宋体" w:cs="宋体"/>
      <w:b/>
      <w:bCs/>
      <w:sz w:val="24"/>
      <w:szCs w:val="24"/>
    </w:rPr>
  </w:style>
  <w:style w:type="paragraph" w:styleId="966" w:customStyle="1">
    <w:name w:val="xl41573"/>
    <w:basedOn w:val="724"/>
    <w:uiPriority w:val="0"/>
    <w:qFormat/>
    <w:pPr>
      <w:jc w:val="center"/>
      <w:spacing w:before="100" w:beforeAutospacing="1" w:after="100" w:afterAutospacing="1"/>
      <w:widowControl/>
    </w:pPr>
    <w:rPr>
      <w:rFonts w:ascii="宋体" w:hAnsi="宋体" w:cs="宋体"/>
      <w:sz w:val="20"/>
      <w:szCs w:val="20"/>
    </w:rPr>
  </w:style>
  <w:style w:type="paragraph" w:styleId="967" w:customStyle="1">
    <w:name w:val="xl41574"/>
    <w:basedOn w:val="724"/>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68" w:customStyle="1">
    <w:name w:val="xl41575"/>
    <w:basedOn w:val="724"/>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69" w:customStyle="1">
    <w:name w:val="xl41576"/>
    <w:basedOn w:val="724"/>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70" w:customStyle="1">
    <w:name w:val="xl41577"/>
    <w:basedOn w:val="724"/>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71" w:customStyle="1">
    <w:name w:val="xl41578"/>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2" w:customStyle="1">
    <w:name w:val="xl41579"/>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3" w:customStyle="1">
    <w:name w:val="xl41580"/>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4" w:customStyle="1">
    <w:name w:val="xl41581"/>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5" w:customStyle="1">
    <w:name w:val="xl41582"/>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6" w:customStyle="1">
    <w:name w:val="xl41583"/>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77" w:customStyle="1">
    <w:name w:val="xl41584"/>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8" w:customStyle="1">
    <w:name w:val="xl41585"/>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79" w:customStyle="1">
    <w:name w:val="xl41586"/>
    <w:basedOn w:val="72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0" w:customStyle="1">
    <w:name w:val="xl41587"/>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81" w:customStyle="1">
    <w:name w:val="xl41588"/>
    <w:basedOn w:val="7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82" w:customStyle="1">
    <w:name w:val="页脚 字符"/>
    <w:basedOn w:val="734"/>
    <w:link w:val="746"/>
    <w:uiPriority w:val="99"/>
    <w:qFormat/>
    <w:rPr>
      <w:rFonts w:eastAsia="楷体_GB2312"/>
      <w:sz w:val="18"/>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73</cp:revision>
  <dcterms:created xsi:type="dcterms:W3CDTF">2024-03-25T01:45:00Z</dcterms:created>
  <dcterms:modified xsi:type="dcterms:W3CDTF">2025-10-09T03:33:41Z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